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383B" w14:textId="77777777" w:rsidR="00517603" w:rsidRPr="00517603" w:rsidRDefault="00517603" w:rsidP="00517603">
      <w:pPr>
        <w:rPr>
          <w:rFonts w:ascii="Calibri" w:hAnsi="Calibri"/>
          <w:sz w:val="20"/>
          <w:szCs w:val="20"/>
        </w:rPr>
      </w:pPr>
      <w:r w:rsidRPr="00517603">
        <w:rPr>
          <w:rFonts w:ascii="Calibri" w:hAnsi="Calibri"/>
          <w:sz w:val="20"/>
          <w:szCs w:val="20"/>
        </w:rPr>
        <w:t>Directions:</w:t>
      </w:r>
    </w:p>
    <w:p w14:paraId="093DE11D" w14:textId="77777777" w:rsidR="00E51B98" w:rsidRDefault="00517603" w:rsidP="003216F8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51B98">
        <w:rPr>
          <w:rFonts w:ascii="Calibri" w:hAnsi="Calibri"/>
          <w:sz w:val="20"/>
          <w:szCs w:val="20"/>
        </w:rPr>
        <w:t xml:space="preserve">Enter the 200-level INQ courses you have taken in the chart below. </w:t>
      </w:r>
    </w:p>
    <w:p w14:paraId="25F1D96C" w14:textId="77777777" w:rsidR="00517603" w:rsidRPr="00E51B98" w:rsidRDefault="00517603" w:rsidP="003216F8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51B98">
        <w:rPr>
          <w:rFonts w:ascii="Calibri" w:hAnsi="Calibri"/>
          <w:sz w:val="20"/>
          <w:szCs w:val="20"/>
        </w:rPr>
        <w:t>Add disciplinary course substitutions in the rightmost column for any row in which you don’t have an INQ course.</w:t>
      </w:r>
    </w:p>
    <w:p w14:paraId="4A2ECD70" w14:textId="77777777" w:rsidR="00517603" w:rsidRDefault="00517603" w:rsidP="00417F86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517603">
        <w:rPr>
          <w:rFonts w:ascii="Calibri" w:hAnsi="Calibri"/>
          <w:sz w:val="20"/>
          <w:szCs w:val="20"/>
        </w:rPr>
        <w:t xml:space="preserve">Students transferring to Roanoke after study at another college may transfer any or all 200-level INQ courses, </w:t>
      </w:r>
      <w:r w:rsidRPr="00517603">
        <w:rPr>
          <w:rFonts w:ascii="Calibri" w:hAnsi="Calibri"/>
          <w:sz w:val="20"/>
          <w:szCs w:val="20"/>
          <w:u w:val="single"/>
        </w:rPr>
        <w:t>BUT</w:t>
      </w:r>
      <w:r w:rsidRPr="00517603">
        <w:rPr>
          <w:rFonts w:ascii="Calibri" w:hAnsi="Calibri"/>
          <w:sz w:val="20"/>
          <w:szCs w:val="20"/>
        </w:rPr>
        <w:t xml:space="preserve"> if three or more are transferred in, all remaining unmet requirements must be completed with INQ courses. Transfer codes are listed in parentheses after each requirement.  Some codes have 3</w:t>
      </w:r>
      <w:r w:rsidRPr="00517603">
        <w:rPr>
          <w:rFonts w:ascii="Calibri" w:hAnsi="Calibri"/>
          <w:sz w:val="20"/>
          <w:szCs w:val="20"/>
          <w:vertAlign w:val="superscript"/>
        </w:rPr>
        <w:t>rd</w:t>
      </w:r>
      <w:r w:rsidRPr="00517603">
        <w:rPr>
          <w:rFonts w:ascii="Calibri" w:hAnsi="Calibri"/>
          <w:sz w:val="20"/>
          <w:szCs w:val="20"/>
        </w:rPr>
        <w:t xml:space="preserve"> letters.  G as the 3</w:t>
      </w:r>
      <w:r w:rsidRPr="00517603">
        <w:rPr>
          <w:rFonts w:ascii="Calibri" w:hAnsi="Calibri"/>
          <w:sz w:val="20"/>
          <w:szCs w:val="20"/>
          <w:vertAlign w:val="superscript"/>
        </w:rPr>
        <w:t>rd</w:t>
      </w:r>
      <w:r w:rsidRPr="00517603">
        <w:rPr>
          <w:rFonts w:ascii="Calibri" w:hAnsi="Calibri"/>
          <w:sz w:val="20"/>
          <w:szCs w:val="20"/>
        </w:rPr>
        <w:t xml:space="preserve"> letter stands for Global. Once students start at RC, they must complete general educatio</w:t>
      </w:r>
      <w:r>
        <w:rPr>
          <w:rFonts w:ascii="Calibri" w:hAnsi="Calibri"/>
          <w:sz w:val="20"/>
          <w:szCs w:val="20"/>
        </w:rPr>
        <w:t>n requirements with RC courses.</w:t>
      </w:r>
    </w:p>
    <w:p w14:paraId="008C2D4A" w14:textId="77777777" w:rsidR="00517603" w:rsidRPr="00517603" w:rsidRDefault="00517603" w:rsidP="00417F86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517603">
        <w:rPr>
          <w:rFonts w:ascii="Calibri" w:hAnsi="Calibri"/>
          <w:b/>
          <w:sz w:val="20"/>
          <w:szCs w:val="20"/>
        </w:rPr>
        <w:t xml:space="preserve">Submit the completed form to the Registrar’s Office </w:t>
      </w:r>
      <w:r w:rsidRPr="00517603">
        <w:rPr>
          <w:rFonts w:ascii="Calibri" w:hAnsi="Calibri"/>
          <w:b/>
          <w:sz w:val="20"/>
          <w:szCs w:val="20"/>
          <w:u w:val="single"/>
        </w:rPr>
        <w:t>only after</w:t>
      </w:r>
      <w:r w:rsidRPr="00517603">
        <w:rPr>
          <w:rFonts w:ascii="Calibri" w:hAnsi="Calibri"/>
          <w:b/>
          <w:sz w:val="20"/>
          <w:szCs w:val="20"/>
        </w:rPr>
        <w:t xml:space="preserve"> you have completed all 200-level INQ requirements.</w:t>
      </w:r>
      <w:r w:rsidRPr="00517603">
        <w:rPr>
          <w:rFonts w:ascii="Calibri" w:hAnsi="Calibri"/>
          <w:sz w:val="20"/>
          <w:szCs w:val="20"/>
        </w:rPr>
        <w:t xml:space="preserve"> </w:t>
      </w:r>
    </w:p>
    <w:p w14:paraId="1CB21D11" w14:textId="77777777" w:rsidR="00C327B1" w:rsidRDefault="00C327B1" w:rsidP="00C327B1">
      <w:pPr>
        <w:rPr>
          <w:rFonts w:ascii="Calibri" w:hAnsi="Calibri"/>
          <w:sz w:val="22"/>
          <w:szCs w:val="22"/>
        </w:rPr>
      </w:pPr>
    </w:p>
    <w:p w14:paraId="7811DCF5" w14:textId="77777777" w:rsidR="00C327B1" w:rsidRPr="00333002" w:rsidRDefault="00C327B1" w:rsidP="00C327B1">
      <w:pPr>
        <w:rPr>
          <w:rFonts w:ascii="Calibri" w:hAnsi="Calibri"/>
          <w:sz w:val="20"/>
          <w:szCs w:val="20"/>
        </w:rPr>
      </w:pPr>
      <w:r w:rsidRPr="00333002">
        <w:rPr>
          <w:rFonts w:ascii="Calibri" w:hAnsi="Calibri"/>
          <w:sz w:val="20"/>
          <w:szCs w:val="20"/>
        </w:rPr>
        <w:t>Rules on Substitutions:</w:t>
      </w:r>
    </w:p>
    <w:p w14:paraId="605688CB" w14:textId="77777777" w:rsidR="00C327B1" w:rsidRPr="00517603" w:rsidRDefault="00C327B1" w:rsidP="0051760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333002">
        <w:rPr>
          <w:rFonts w:ascii="Calibri" w:hAnsi="Calibri"/>
          <w:sz w:val="20"/>
          <w:szCs w:val="20"/>
        </w:rPr>
        <w:t xml:space="preserve">No more than </w:t>
      </w:r>
      <w:r w:rsidRPr="009A3655">
        <w:rPr>
          <w:rFonts w:ascii="Calibri" w:hAnsi="Calibri"/>
          <w:b/>
          <w:sz w:val="20"/>
          <w:szCs w:val="20"/>
          <w:u w:val="single"/>
        </w:rPr>
        <w:t>3</w:t>
      </w:r>
      <w:r w:rsidRPr="00333002">
        <w:rPr>
          <w:rFonts w:ascii="Calibri" w:hAnsi="Calibri"/>
          <w:sz w:val="20"/>
          <w:szCs w:val="20"/>
        </w:rPr>
        <w:t xml:space="preserve"> total substitutions are allowed</w:t>
      </w:r>
      <w:r w:rsidR="00517603">
        <w:rPr>
          <w:rFonts w:ascii="Calibri" w:hAnsi="Calibri"/>
          <w:sz w:val="20"/>
          <w:szCs w:val="20"/>
        </w:rPr>
        <w:t xml:space="preserve">. </w:t>
      </w:r>
      <w:r w:rsidRPr="00517603">
        <w:rPr>
          <w:rFonts w:ascii="Calibri" w:hAnsi="Calibri"/>
          <w:sz w:val="20"/>
          <w:szCs w:val="20"/>
        </w:rPr>
        <w:t>You must take at least one INQ course in Math/Natural Science, one INQ course in Social Sciences, and one INQ course in Humanities/Fine Arts.</w:t>
      </w:r>
    </w:p>
    <w:p w14:paraId="72CAB79F" w14:textId="77777777" w:rsidR="008D1A28" w:rsidRPr="00E51B98" w:rsidRDefault="008D1A28" w:rsidP="00665F6D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E51B98">
        <w:rPr>
          <w:rFonts w:ascii="Calibri" w:hAnsi="Calibri"/>
          <w:sz w:val="20"/>
          <w:szCs w:val="20"/>
        </w:rPr>
        <w:t>If using a substitute for one INQ 260, the substitute and the other INQ 260 must be from different disciplines.</w:t>
      </w:r>
    </w:p>
    <w:p w14:paraId="65F353D5" w14:textId="77777777" w:rsidR="00517603" w:rsidRDefault="00517603" w:rsidP="0051760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Allowed substitutes</w:t>
      </w:r>
    </w:p>
    <w:p w14:paraId="42E402FF" w14:textId="77777777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240: a one-unit course in Mathematics or Statistics</w:t>
      </w:r>
    </w:p>
    <w:p w14:paraId="4053CAB3" w14:textId="77777777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241: a one-unit course in Mathematics, Statistics, or Computer Science</w:t>
      </w:r>
    </w:p>
    <w:p w14:paraId="69941B9A" w14:textId="77777777" w:rsidR="00517603" w:rsidRPr="00AD03AE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250</w:t>
      </w:r>
      <w:r w:rsidRPr="00AD03AE">
        <w:rPr>
          <w:rFonts w:ascii="Calibri" w:hAnsi="Calibri"/>
          <w:sz w:val="20"/>
          <w:szCs w:val="20"/>
        </w:rPr>
        <w:t xml:space="preserve">: a one-unit course </w:t>
      </w:r>
      <w:r>
        <w:rPr>
          <w:rFonts w:ascii="Calibri" w:hAnsi="Calibri"/>
          <w:sz w:val="20"/>
          <w:szCs w:val="20"/>
        </w:rPr>
        <w:t xml:space="preserve">in natural </w:t>
      </w:r>
      <w:r w:rsidRPr="00AD03AE">
        <w:rPr>
          <w:rFonts w:ascii="Calibri" w:hAnsi="Calibri"/>
          <w:sz w:val="20"/>
          <w:szCs w:val="20"/>
        </w:rPr>
        <w:t xml:space="preserve">science that includes </w:t>
      </w:r>
      <w:r>
        <w:rPr>
          <w:rFonts w:ascii="Calibri" w:hAnsi="Calibri"/>
          <w:sz w:val="20"/>
          <w:szCs w:val="20"/>
        </w:rPr>
        <w:t xml:space="preserve">3 hr/wk of </w:t>
      </w:r>
      <w:r w:rsidRPr="00AD03AE">
        <w:rPr>
          <w:rFonts w:ascii="Calibri" w:hAnsi="Calibri"/>
          <w:sz w:val="20"/>
          <w:szCs w:val="20"/>
        </w:rPr>
        <w:t xml:space="preserve">laboratory </w:t>
      </w:r>
      <w:r>
        <w:rPr>
          <w:rFonts w:ascii="Calibri" w:hAnsi="Calibri"/>
          <w:sz w:val="20"/>
          <w:szCs w:val="20"/>
        </w:rPr>
        <w:t>from BIOL, CHEM, ENSC, or PHYS</w:t>
      </w:r>
      <w:r w:rsidRPr="00AD03AE">
        <w:rPr>
          <w:rFonts w:ascii="Calibri" w:hAnsi="Calibri"/>
          <w:sz w:val="20"/>
          <w:szCs w:val="20"/>
        </w:rPr>
        <w:t xml:space="preserve">. Courses with laboratory include BIOL </w:t>
      </w:r>
      <w:r>
        <w:rPr>
          <w:rFonts w:ascii="Calibri" w:hAnsi="Calibri"/>
          <w:sz w:val="20"/>
          <w:szCs w:val="20"/>
        </w:rPr>
        <w:t xml:space="preserve">106, </w:t>
      </w:r>
      <w:r w:rsidRPr="00AD03AE">
        <w:rPr>
          <w:rFonts w:ascii="Calibri" w:hAnsi="Calibri"/>
          <w:sz w:val="20"/>
          <w:szCs w:val="20"/>
        </w:rPr>
        <w:t>120, 125, 180, 230, 260, CHEM 1</w:t>
      </w:r>
      <w:r>
        <w:rPr>
          <w:rFonts w:ascii="Calibri" w:hAnsi="Calibri"/>
          <w:sz w:val="20"/>
          <w:szCs w:val="20"/>
        </w:rPr>
        <w:t>11, 112, 113, 221, 222, ENSC 101</w:t>
      </w:r>
      <w:r w:rsidRPr="00AD03AE">
        <w:rPr>
          <w:rFonts w:ascii="Calibri" w:hAnsi="Calibri"/>
          <w:sz w:val="20"/>
          <w:szCs w:val="20"/>
        </w:rPr>
        <w:t xml:space="preserve">, </w:t>
      </w:r>
      <w:r w:rsidR="00BC716B">
        <w:rPr>
          <w:rFonts w:ascii="Calibri" w:hAnsi="Calibri"/>
          <w:sz w:val="20"/>
          <w:szCs w:val="20"/>
        </w:rPr>
        <w:t xml:space="preserve">220, </w:t>
      </w:r>
      <w:r w:rsidRPr="00AD03AE">
        <w:rPr>
          <w:rFonts w:ascii="Calibri" w:hAnsi="Calibri"/>
          <w:sz w:val="20"/>
          <w:szCs w:val="20"/>
        </w:rPr>
        <w:t>230, PHYS 10</w:t>
      </w:r>
      <w:r>
        <w:rPr>
          <w:rFonts w:ascii="Calibri" w:hAnsi="Calibri"/>
          <w:sz w:val="20"/>
          <w:szCs w:val="20"/>
        </w:rPr>
        <w:t>2, 103, 104, 201, 202. C</w:t>
      </w:r>
      <w:r w:rsidRPr="00AD03AE">
        <w:rPr>
          <w:rFonts w:ascii="Calibri" w:hAnsi="Calibri"/>
          <w:sz w:val="20"/>
          <w:szCs w:val="20"/>
        </w:rPr>
        <w:t xml:space="preserve">ourses </w:t>
      </w:r>
      <w:r>
        <w:rPr>
          <w:rFonts w:ascii="Calibri" w:hAnsi="Calibri"/>
          <w:sz w:val="20"/>
          <w:szCs w:val="20"/>
        </w:rPr>
        <w:t xml:space="preserve">in these disciplines </w:t>
      </w:r>
      <w:r w:rsidRPr="00AD03AE">
        <w:rPr>
          <w:rFonts w:ascii="Calibri" w:hAnsi="Calibri"/>
          <w:sz w:val="20"/>
          <w:szCs w:val="20"/>
        </w:rPr>
        <w:t xml:space="preserve">without lab do </w:t>
      </w:r>
      <w:r w:rsidRPr="00AD03AE">
        <w:rPr>
          <w:rFonts w:ascii="Calibri" w:hAnsi="Calibri"/>
          <w:sz w:val="20"/>
          <w:szCs w:val="20"/>
          <w:u w:val="single"/>
        </w:rPr>
        <w:t>NOT</w:t>
      </w:r>
      <w:r w:rsidRPr="00AD03AE">
        <w:rPr>
          <w:rFonts w:ascii="Calibri" w:hAnsi="Calibri"/>
          <w:sz w:val="20"/>
          <w:szCs w:val="20"/>
        </w:rPr>
        <w:t xml:space="preserve"> substitute</w:t>
      </w:r>
      <w:r w:rsidR="00E51B98">
        <w:rPr>
          <w:rFonts w:ascii="Calibri" w:hAnsi="Calibri"/>
          <w:sz w:val="20"/>
          <w:szCs w:val="20"/>
        </w:rPr>
        <w:t xml:space="preserve"> for INQ 250</w:t>
      </w:r>
      <w:r w:rsidRPr="00AD03AE">
        <w:rPr>
          <w:rFonts w:ascii="Calibri" w:hAnsi="Calibri"/>
          <w:sz w:val="20"/>
          <w:szCs w:val="20"/>
        </w:rPr>
        <w:t>; these incl</w:t>
      </w:r>
      <w:r w:rsidR="002D084C">
        <w:rPr>
          <w:rFonts w:ascii="Calibri" w:hAnsi="Calibri"/>
          <w:sz w:val="20"/>
          <w:szCs w:val="20"/>
        </w:rPr>
        <w:t xml:space="preserve">ude BIOL </w:t>
      </w:r>
      <w:r>
        <w:rPr>
          <w:rFonts w:ascii="Calibri" w:hAnsi="Calibri"/>
          <w:sz w:val="20"/>
          <w:szCs w:val="20"/>
        </w:rPr>
        <w:t>110, 190, ENVI 103, 105, 130, PHYS 190 and any ENST courses.</w:t>
      </w:r>
    </w:p>
    <w:p w14:paraId="71F3D655" w14:textId="77777777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251: a one-unit course</w:t>
      </w:r>
      <w:r w:rsidRPr="008B76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 natural science, with or without lab, from BIOL, CHEM, ENSC, and PHYS. Note that ENST courses do </w:t>
      </w:r>
      <w:r w:rsidRPr="00A91B0B">
        <w:rPr>
          <w:rFonts w:ascii="Calibri" w:hAnsi="Calibri"/>
          <w:sz w:val="20"/>
          <w:szCs w:val="20"/>
          <w:u w:val="single"/>
        </w:rPr>
        <w:t>NOT</w:t>
      </w:r>
      <w:r>
        <w:rPr>
          <w:rFonts w:ascii="Calibri" w:hAnsi="Calibri"/>
          <w:sz w:val="20"/>
          <w:szCs w:val="20"/>
        </w:rPr>
        <w:t xml:space="preserve"> substitute in the natural sciences.</w:t>
      </w:r>
    </w:p>
    <w:p w14:paraId="32727098" w14:textId="5A826E75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260: a one-unit course in Anthropology, Communication, Criminal Justice, Economics, Geography, International Relations, Political Science, Psychology,</w:t>
      </w:r>
      <w:r w:rsidR="008B5C7E">
        <w:rPr>
          <w:rFonts w:ascii="Calibri" w:hAnsi="Calibri"/>
          <w:sz w:val="20"/>
          <w:szCs w:val="20"/>
        </w:rPr>
        <w:t xml:space="preserve"> Public Health Studies,</w:t>
      </w:r>
      <w:r>
        <w:rPr>
          <w:rFonts w:ascii="Calibri" w:hAnsi="Calibri"/>
          <w:sz w:val="20"/>
          <w:szCs w:val="20"/>
        </w:rPr>
        <w:t xml:space="preserve"> Sociology</w:t>
      </w:r>
      <w:r w:rsidR="00620411">
        <w:rPr>
          <w:rFonts w:ascii="Calibri" w:hAnsi="Calibri"/>
          <w:sz w:val="20"/>
          <w:szCs w:val="20"/>
        </w:rPr>
        <w:t>, or EDUC 300.</w:t>
      </w:r>
    </w:p>
    <w:p w14:paraId="6B56387B" w14:textId="0E3FFCE6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270: a one unit course in Humanities/Fine Arts from a time period b</w:t>
      </w:r>
      <w:r w:rsidR="002D084C">
        <w:rPr>
          <w:rFonts w:ascii="Calibri" w:hAnsi="Calibri"/>
          <w:sz w:val="20"/>
          <w:szCs w:val="20"/>
        </w:rPr>
        <w:t xml:space="preserve">efore 1500, including ARTH </w:t>
      </w:r>
      <w:r>
        <w:rPr>
          <w:rFonts w:ascii="Calibri" w:hAnsi="Calibri"/>
          <w:sz w:val="20"/>
          <w:szCs w:val="20"/>
        </w:rPr>
        <w:t xml:space="preserve">150, </w:t>
      </w:r>
      <w:r w:rsidR="002D084C">
        <w:rPr>
          <w:rFonts w:ascii="Calibri" w:hAnsi="Calibri"/>
          <w:sz w:val="20"/>
          <w:szCs w:val="20"/>
        </w:rPr>
        <w:t xml:space="preserve">220-236, </w:t>
      </w:r>
      <w:r>
        <w:rPr>
          <w:rFonts w:ascii="Calibri" w:hAnsi="Calibri"/>
          <w:sz w:val="20"/>
          <w:szCs w:val="20"/>
        </w:rPr>
        <w:t>ENGL 330, 334</w:t>
      </w:r>
      <w:r w:rsidR="002D084C">
        <w:rPr>
          <w:rFonts w:ascii="Calibri" w:hAnsi="Calibri"/>
          <w:sz w:val="20"/>
          <w:szCs w:val="20"/>
        </w:rPr>
        <w:t xml:space="preserve">, FREN 421, HIST 110, 120, </w:t>
      </w:r>
      <w:r>
        <w:rPr>
          <w:rFonts w:ascii="Calibri" w:hAnsi="Calibri"/>
          <w:sz w:val="20"/>
          <w:szCs w:val="20"/>
        </w:rPr>
        <w:t>212</w:t>
      </w:r>
      <w:r w:rsidR="00BC716B">
        <w:rPr>
          <w:rFonts w:ascii="Calibri" w:hAnsi="Calibri"/>
          <w:sz w:val="20"/>
          <w:szCs w:val="20"/>
        </w:rPr>
        <w:t>-214</w:t>
      </w:r>
      <w:r>
        <w:rPr>
          <w:rFonts w:ascii="Calibri" w:hAnsi="Calibri"/>
          <w:sz w:val="20"/>
          <w:szCs w:val="20"/>
        </w:rPr>
        <w:t>, 223</w:t>
      </w:r>
      <w:r w:rsidR="00A070A4">
        <w:rPr>
          <w:rFonts w:ascii="Calibri" w:hAnsi="Calibri"/>
          <w:sz w:val="20"/>
          <w:szCs w:val="20"/>
        </w:rPr>
        <w:t xml:space="preserve">, 230, 281, MUSC 261, PHIL </w:t>
      </w:r>
      <w:r>
        <w:rPr>
          <w:rFonts w:ascii="Calibri" w:hAnsi="Calibri"/>
          <w:sz w:val="20"/>
          <w:szCs w:val="20"/>
        </w:rPr>
        <w:t>251</w:t>
      </w:r>
      <w:r w:rsidR="00A070A4">
        <w:rPr>
          <w:rFonts w:ascii="Calibri" w:hAnsi="Calibri"/>
          <w:sz w:val="20"/>
          <w:szCs w:val="20"/>
        </w:rPr>
        <w:t>, 253</w:t>
      </w:r>
      <w:r>
        <w:rPr>
          <w:rFonts w:ascii="Calibri" w:hAnsi="Calibri"/>
          <w:sz w:val="20"/>
          <w:szCs w:val="20"/>
        </w:rPr>
        <w:t xml:space="preserve">, RELG </w:t>
      </w:r>
      <w:r w:rsidR="00434B63">
        <w:rPr>
          <w:rFonts w:ascii="Calibri" w:hAnsi="Calibri"/>
          <w:sz w:val="20"/>
          <w:szCs w:val="20"/>
        </w:rPr>
        <w:t>141,</w:t>
      </w:r>
      <w:r w:rsidR="000F3F9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201, 202, </w:t>
      </w:r>
      <w:r w:rsidR="00434B63">
        <w:rPr>
          <w:rFonts w:ascii="Calibri" w:hAnsi="Calibri"/>
          <w:sz w:val="20"/>
          <w:szCs w:val="20"/>
        </w:rPr>
        <w:t xml:space="preserve">207, </w:t>
      </w:r>
      <w:r>
        <w:rPr>
          <w:rFonts w:ascii="Calibri" w:hAnsi="Calibri"/>
          <w:sz w:val="20"/>
          <w:szCs w:val="20"/>
        </w:rPr>
        <w:t>210, 211, 215-217, 231,</w:t>
      </w:r>
      <w:r w:rsidR="00434B63">
        <w:rPr>
          <w:rFonts w:ascii="Calibri" w:hAnsi="Calibri"/>
          <w:sz w:val="20"/>
          <w:szCs w:val="20"/>
        </w:rPr>
        <w:t xml:space="preserve"> 232, 241, 245</w:t>
      </w:r>
      <w:r w:rsidR="000F3F9E">
        <w:rPr>
          <w:rFonts w:ascii="Calibri" w:hAnsi="Calibri"/>
          <w:sz w:val="20"/>
          <w:szCs w:val="20"/>
        </w:rPr>
        <w:t>,</w:t>
      </w:r>
      <w:r w:rsidR="00911805">
        <w:rPr>
          <w:rFonts w:ascii="Calibri" w:hAnsi="Calibri"/>
          <w:sz w:val="20"/>
          <w:szCs w:val="20"/>
        </w:rPr>
        <w:t xml:space="preserve"> 282, THEA 240</w:t>
      </w:r>
      <w:r w:rsidR="000F3F9E">
        <w:rPr>
          <w:rFonts w:ascii="Calibri" w:hAnsi="Calibri"/>
          <w:sz w:val="20"/>
          <w:szCs w:val="20"/>
        </w:rPr>
        <w:t>.</w:t>
      </w:r>
    </w:p>
    <w:p w14:paraId="65C1A88A" w14:textId="5498F737" w:rsidR="00517603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INQ 271: a one unit course in Humanities/Fine Arts from a time period aft</w:t>
      </w:r>
      <w:r w:rsidR="002D084C">
        <w:rPr>
          <w:rFonts w:ascii="Calibri" w:hAnsi="Calibri"/>
          <w:sz w:val="20"/>
          <w:szCs w:val="20"/>
        </w:rPr>
        <w:t>er 1500, including ARTH 151, 246-286</w:t>
      </w:r>
      <w:r>
        <w:rPr>
          <w:rFonts w:ascii="Calibri" w:hAnsi="Calibri"/>
          <w:sz w:val="20"/>
          <w:szCs w:val="20"/>
        </w:rPr>
        <w:t>, ENGL 240, 250, 256, 260, FREN 420, 431-480, GRMN 205, 314-321, HIST 130-210</w:t>
      </w:r>
      <w:r w:rsidR="002D084C">
        <w:rPr>
          <w:rFonts w:ascii="Calibri" w:hAnsi="Calibri"/>
          <w:sz w:val="20"/>
          <w:szCs w:val="20"/>
        </w:rPr>
        <w:t>, 231, 233, 241-273, 282-</w:t>
      </w:r>
      <w:r>
        <w:rPr>
          <w:rFonts w:ascii="Calibri" w:hAnsi="Calibri"/>
          <w:sz w:val="20"/>
          <w:szCs w:val="20"/>
        </w:rPr>
        <w:t xml:space="preserve">285, MUSC 262, </w:t>
      </w:r>
      <w:r w:rsidR="0030507E">
        <w:rPr>
          <w:rFonts w:ascii="Calibri" w:hAnsi="Calibri"/>
          <w:sz w:val="20"/>
          <w:szCs w:val="20"/>
        </w:rPr>
        <w:t xml:space="preserve">274, </w:t>
      </w:r>
      <w:r w:rsidR="00BC716B">
        <w:rPr>
          <w:rFonts w:ascii="Calibri" w:hAnsi="Calibri"/>
          <w:sz w:val="20"/>
          <w:szCs w:val="20"/>
        </w:rPr>
        <w:t xml:space="preserve">PEAC 201, </w:t>
      </w:r>
      <w:r w:rsidR="008F201C">
        <w:rPr>
          <w:rFonts w:ascii="Calibri" w:hAnsi="Calibri"/>
          <w:sz w:val="20"/>
          <w:szCs w:val="20"/>
        </w:rPr>
        <w:t xml:space="preserve">301, </w:t>
      </w:r>
      <w:r>
        <w:rPr>
          <w:rFonts w:ascii="Calibri" w:hAnsi="Calibri"/>
          <w:sz w:val="20"/>
          <w:szCs w:val="20"/>
        </w:rPr>
        <w:t xml:space="preserve">PHIL </w:t>
      </w:r>
      <w:r w:rsidR="00A070A4">
        <w:rPr>
          <w:rFonts w:ascii="Calibri" w:hAnsi="Calibri"/>
          <w:sz w:val="20"/>
          <w:szCs w:val="20"/>
        </w:rPr>
        <w:t>212, 255-267</w:t>
      </w:r>
      <w:r>
        <w:rPr>
          <w:rFonts w:ascii="Calibri" w:hAnsi="Calibri"/>
          <w:sz w:val="20"/>
          <w:szCs w:val="20"/>
        </w:rPr>
        <w:t xml:space="preserve">, RELG </w:t>
      </w:r>
      <w:r w:rsidR="00F52F1A">
        <w:rPr>
          <w:rFonts w:ascii="Calibri" w:hAnsi="Calibri"/>
          <w:sz w:val="20"/>
          <w:szCs w:val="20"/>
        </w:rPr>
        <w:t xml:space="preserve">130, </w:t>
      </w:r>
      <w:r w:rsidR="000F3F9E">
        <w:rPr>
          <w:rFonts w:ascii="Calibri" w:hAnsi="Calibri"/>
          <w:sz w:val="20"/>
          <w:szCs w:val="20"/>
        </w:rPr>
        <w:t xml:space="preserve">140, </w:t>
      </w:r>
      <w:r>
        <w:rPr>
          <w:rFonts w:ascii="Calibri" w:hAnsi="Calibri"/>
          <w:sz w:val="20"/>
          <w:szCs w:val="20"/>
        </w:rPr>
        <w:t xml:space="preserve">212, 214, 240, 246, 250, </w:t>
      </w:r>
      <w:r w:rsidR="00911805">
        <w:rPr>
          <w:rFonts w:ascii="Calibri" w:hAnsi="Calibri"/>
          <w:sz w:val="20"/>
          <w:szCs w:val="20"/>
        </w:rPr>
        <w:t xml:space="preserve">284, 286, SPAN </w:t>
      </w:r>
      <w:r w:rsidR="0017438B">
        <w:rPr>
          <w:rFonts w:ascii="Calibri" w:hAnsi="Calibri"/>
          <w:sz w:val="20"/>
          <w:szCs w:val="20"/>
        </w:rPr>
        <w:t xml:space="preserve">311, </w:t>
      </w:r>
      <w:r w:rsidR="00911805">
        <w:rPr>
          <w:rFonts w:ascii="Calibri" w:hAnsi="Calibri"/>
          <w:sz w:val="20"/>
          <w:szCs w:val="20"/>
        </w:rPr>
        <w:t>315-323, THEA 241</w:t>
      </w:r>
      <w:r>
        <w:rPr>
          <w:rFonts w:ascii="Calibri" w:hAnsi="Calibri"/>
          <w:sz w:val="20"/>
          <w:szCs w:val="20"/>
        </w:rPr>
        <w:t>.</w:t>
      </w:r>
    </w:p>
    <w:p w14:paraId="516B98AA" w14:textId="77777777" w:rsidR="00F80CEE" w:rsidRDefault="00517603" w:rsidP="00594820">
      <w:pPr>
        <w:pStyle w:val="ListParagraph"/>
        <w:numPr>
          <w:ilvl w:val="1"/>
          <w:numId w:val="5"/>
        </w:numPr>
        <w:ind w:left="99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 that courses without a time period focus may not be used for INQ 270 and 271.  These include language acquisition, studio art, creative writing, or other topics lacking a time period focus.</w:t>
      </w:r>
    </w:p>
    <w:p w14:paraId="27CC8621" w14:textId="77777777" w:rsidR="00517603" w:rsidRPr="00517603" w:rsidRDefault="00517603" w:rsidP="00517603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6C4267B1" w14:textId="77777777" w:rsidR="008E5EAF" w:rsidRPr="001862CE" w:rsidRDefault="00333002" w:rsidP="0088341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 ________________________________________________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RC ID  _______________________</w:t>
      </w:r>
    </w:p>
    <w:p w14:paraId="4A90EAFC" w14:textId="77777777" w:rsidR="0088341F" w:rsidRPr="007C1D01" w:rsidRDefault="0088341F" w:rsidP="0088341F">
      <w:pPr>
        <w:ind w:left="720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4" w:type="dxa"/>
          <w:bottom w:w="43" w:type="dxa"/>
          <w:right w:w="14" w:type="dxa"/>
        </w:tblCellMar>
        <w:tblLook w:val="01E0" w:firstRow="1" w:lastRow="1" w:firstColumn="1" w:lastColumn="1" w:noHBand="0" w:noVBand="0"/>
      </w:tblPr>
      <w:tblGrid>
        <w:gridCol w:w="1195"/>
        <w:gridCol w:w="4337"/>
        <w:gridCol w:w="1449"/>
        <w:gridCol w:w="1558"/>
        <w:gridCol w:w="2341"/>
      </w:tblGrid>
      <w:tr w:rsidR="00E51B98" w:rsidRPr="007C1D01" w14:paraId="22D38893" w14:textId="77777777" w:rsidTr="000204C7">
        <w:trPr>
          <w:trHeight w:val="532"/>
        </w:trPr>
        <w:tc>
          <w:tcPr>
            <w:tcW w:w="2542" w:type="pct"/>
            <w:gridSpan w:val="2"/>
            <w:tcBorders>
              <w:bottom w:val="single" w:sz="4" w:space="0" w:color="auto"/>
            </w:tcBorders>
          </w:tcPr>
          <w:p w14:paraId="34939ECA" w14:textId="77777777" w:rsidR="00E51B98" w:rsidRPr="007C1D01" w:rsidRDefault="00E51B98" w:rsidP="006E3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1E3F6BAC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7396">
              <w:rPr>
                <w:rFonts w:ascii="Calibri" w:hAnsi="Calibri"/>
                <w:b/>
                <w:sz w:val="16"/>
                <w:szCs w:val="16"/>
              </w:rPr>
              <w:t>Transfer Student Codes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212797C" w14:textId="77777777" w:rsidR="00E51B98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INQ Course Taken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19CB2EEA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Disciplinary Course Substitute 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(at most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E51B98" w:rsidRPr="007C1D01" w14:paraId="4B7AEA8A" w14:textId="77777777" w:rsidTr="000204C7">
        <w:trPr>
          <w:trHeight w:val="288"/>
        </w:trPr>
        <w:tc>
          <w:tcPr>
            <w:tcW w:w="549" w:type="pct"/>
            <w:vMerge w:val="restart"/>
            <w:shd w:val="clear" w:color="auto" w:fill="F2F2F2" w:themeFill="background1" w:themeFillShade="F2"/>
          </w:tcPr>
          <w:p w14:paraId="282B3769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F97FFA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Natural Sciences &amp; Mathematics Division</w:t>
            </w:r>
          </w:p>
        </w:tc>
        <w:tc>
          <w:tcPr>
            <w:tcW w:w="1993" w:type="pct"/>
            <w:shd w:val="clear" w:color="auto" w:fill="F2F2F2" w:themeFill="background1" w:themeFillShade="F2"/>
          </w:tcPr>
          <w:p w14:paraId="2AAF6294" w14:textId="77777777" w:rsidR="00E51B98" w:rsidRPr="00142CC8" w:rsidRDefault="00E51B98" w:rsidP="000204C7">
            <w:pPr>
              <w:rPr>
                <w:rFonts w:ascii="Calibri" w:hAnsi="Calibri"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INQ 240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>Statistical Reasoning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2565898E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MA or MAG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435AD27F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F2F2F2" w:themeFill="background1" w:themeFillShade="F2"/>
          </w:tcPr>
          <w:p w14:paraId="0E4A17AC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1B98" w:rsidRPr="007C1D01" w14:paraId="7AFFE0C0" w14:textId="77777777" w:rsidTr="000204C7">
        <w:tc>
          <w:tcPr>
            <w:tcW w:w="549" w:type="pct"/>
            <w:vMerge/>
            <w:shd w:val="clear" w:color="auto" w:fill="F2F2F2" w:themeFill="background1" w:themeFillShade="F2"/>
          </w:tcPr>
          <w:p w14:paraId="45848DCB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F2F2F2" w:themeFill="background1" w:themeFillShade="F2"/>
          </w:tcPr>
          <w:p w14:paraId="09408089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INQ 250 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Scientific Reasoning I     </w:t>
            </w:r>
            <w:r w:rsidRPr="007C1D01">
              <w:rPr>
                <w:rFonts w:ascii="Calibri" w:hAnsi="Calibri"/>
                <w:sz w:val="20"/>
                <w:szCs w:val="20"/>
              </w:rPr>
              <w:t>(Lab Science)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0A8FCECE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LB, LC, LP, LG or LL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49FD6FCE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F2F2F2" w:themeFill="background1" w:themeFillShade="F2"/>
          </w:tcPr>
          <w:p w14:paraId="1AB709CE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1B98" w:rsidRPr="007C1D01" w14:paraId="3C5C0D2C" w14:textId="77777777" w:rsidTr="000204C7">
        <w:tc>
          <w:tcPr>
            <w:tcW w:w="549" w:type="pct"/>
            <w:vMerge/>
            <w:shd w:val="clear" w:color="auto" w:fill="F2F2F2" w:themeFill="background1" w:themeFillShade="F2"/>
          </w:tcPr>
          <w:p w14:paraId="455E1970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F2F2F2" w:themeFill="background1" w:themeFillShade="F2"/>
          </w:tcPr>
          <w:p w14:paraId="4602C8E9" w14:textId="77777777" w:rsidR="00E51B98" w:rsidRPr="007C1D01" w:rsidRDefault="00E51B98" w:rsidP="000204C7">
            <w:pPr>
              <w:rPr>
                <w:rFonts w:ascii="Calibri" w:hAnsi="Calibri"/>
                <w:i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INQ 241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Mathematical Reasoning      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6AA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3E269B5" w14:textId="77777777" w:rsidR="00E51B98" w:rsidRPr="00ED7396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INQ 251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 Scientific Reasoning II     </w:t>
            </w:r>
            <w:r w:rsidRPr="007C1D01">
              <w:rPr>
                <w:rFonts w:ascii="Calibri" w:hAnsi="Calibri"/>
                <w:sz w:val="20"/>
                <w:szCs w:val="20"/>
              </w:rPr>
              <w:t>(Non-lab Science)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4FFE4781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MA, MAG, LB, LC, LP, LL or NL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6909F85A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F2F2F2" w:themeFill="background1" w:themeFillShade="F2"/>
          </w:tcPr>
          <w:p w14:paraId="3E898264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51B98" w:rsidRPr="007C1D01" w14:paraId="4D0C8644" w14:textId="77777777" w:rsidTr="000204C7">
        <w:tc>
          <w:tcPr>
            <w:tcW w:w="549" w:type="pct"/>
            <w:vMerge w:val="restart"/>
            <w:vAlign w:val="center"/>
          </w:tcPr>
          <w:p w14:paraId="32721878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Social  Sciences Division</w:t>
            </w:r>
          </w:p>
        </w:tc>
        <w:tc>
          <w:tcPr>
            <w:tcW w:w="1993" w:type="pct"/>
          </w:tcPr>
          <w:p w14:paraId="5E217202" w14:textId="77777777" w:rsidR="00E51B98" w:rsidRPr="00196AA5" w:rsidRDefault="00E51B98" w:rsidP="000204C7">
            <w:pPr>
              <w:rPr>
                <w:rFonts w:ascii="Calibri" w:hAnsi="Calibri"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INQ 260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 Social Scientific Reasoning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C1D01">
              <w:rPr>
                <w:rFonts w:ascii="Calibri" w:hAnsi="Calibri"/>
                <w:sz w:val="20"/>
                <w:szCs w:val="20"/>
              </w:rPr>
              <w:t>(1</w:t>
            </w:r>
            <w:r w:rsidRPr="007C1D01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7C1D01">
              <w:rPr>
                <w:rFonts w:ascii="Calibri" w:hAnsi="Calibri"/>
                <w:sz w:val="20"/>
                <w:szCs w:val="20"/>
              </w:rPr>
              <w:t xml:space="preserve"> discipline)</w:t>
            </w:r>
          </w:p>
        </w:tc>
        <w:tc>
          <w:tcPr>
            <w:tcW w:w="666" w:type="pct"/>
            <w:vMerge w:val="restart"/>
          </w:tcPr>
          <w:p w14:paraId="441F9C54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SE, SEG, SP, SPG, SS, SSG, SG, SGG, SO, SOG</w:t>
            </w:r>
          </w:p>
        </w:tc>
        <w:tc>
          <w:tcPr>
            <w:tcW w:w="716" w:type="pct"/>
          </w:tcPr>
          <w:p w14:paraId="0BBD280C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</w:tcPr>
          <w:p w14:paraId="72B60C8E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51B98" w:rsidRPr="007C1D01" w14:paraId="618BAD05" w14:textId="77777777" w:rsidTr="000204C7">
        <w:tc>
          <w:tcPr>
            <w:tcW w:w="549" w:type="pct"/>
            <w:vMerge/>
            <w:tcBorders>
              <w:bottom w:val="single" w:sz="4" w:space="0" w:color="auto"/>
            </w:tcBorders>
          </w:tcPr>
          <w:p w14:paraId="7487C115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17072F6D" w14:textId="77777777" w:rsidR="00E51B98" w:rsidRPr="00197065" w:rsidRDefault="00E51B98" w:rsidP="000204C7">
            <w:pPr>
              <w:rPr>
                <w:rFonts w:ascii="Calibri" w:hAnsi="Calibri"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INQ 260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 Social Scientific Reasoning </w:t>
            </w:r>
            <w:r w:rsidRPr="007C1D01">
              <w:rPr>
                <w:rFonts w:ascii="Calibri" w:hAnsi="Calibri"/>
                <w:sz w:val="20"/>
                <w:szCs w:val="20"/>
              </w:rPr>
              <w:t>(2</w:t>
            </w:r>
            <w:r w:rsidRPr="007C1D01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7C1D01">
              <w:rPr>
                <w:rFonts w:ascii="Calibri" w:hAnsi="Calibri"/>
                <w:sz w:val="20"/>
                <w:szCs w:val="20"/>
              </w:rPr>
              <w:t xml:space="preserve"> discipline)</w:t>
            </w: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14:paraId="09B3388D" w14:textId="77777777" w:rsidR="00E51B98" w:rsidRPr="00ED7396" w:rsidRDefault="00E51B98" w:rsidP="000204C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3B8D256E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30E1CD3F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1B98" w:rsidRPr="007C1D01" w14:paraId="4B42D5D5" w14:textId="77777777" w:rsidTr="000204C7">
        <w:tc>
          <w:tcPr>
            <w:tcW w:w="549" w:type="pct"/>
            <w:vMerge w:val="restart"/>
            <w:shd w:val="clear" w:color="auto" w:fill="F2F2F2" w:themeFill="background1" w:themeFillShade="F2"/>
            <w:vAlign w:val="center"/>
          </w:tcPr>
          <w:p w14:paraId="46798F6E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>Humanities</w:t>
            </w:r>
          </w:p>
          <w:p w14:paraId="4080370B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&amp; Fine Arts Division</w:t>
            </w:r>
          </w:p>
        </w:tc>
        <w:tc>
          <w:tcPr>
            <w:tcW w:w="1993" w:type="pct"/>
            <w:shd w:val="clear" w:color="auto" w:fill="F2F2F2" w:themeFill="background1" w:themeFillShade="F2"/>
          </w:tcPr>
          <w:p w14:paraId="11CC70CC" w14:textId="77777777" w:rsidR="00E51B98" w:rsidRPr="00ED7396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INQ 270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>Human Heritage I</w:t>
            </w: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6B1006BE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H1, H1G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60DF8F8C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F2F2F2" w:themeFill="background1" w:themeFillShade="F2"/>
          </w:tcPr>
          <w:p w14:paraId="7B92D6AE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51B98" w:rsidRPr="007C1D01" w14:paraId="706CD469" w14:textId="77777777" w:rsidTr="000204C7">
        <w:tc>
          <w:tcPr>
            <w:tcW w:w="549" w:type="pct"/>
            <w:vMerge/>
            <w:shd w:val="clear" w:color="auto" w:fill="F2F2F2" w:themeFill="background1" w:themeFillShade="F2"/>
          </w:tcPr>
          <w:p w14:paraId="5E1239B3" w14:textId="77777777" w:rsidR="00E51B98" w:rsidRPr="007C1D01" w:rsidRDefault="00E51B98" w:rsidP="0002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F2F2F2" w:themeFill="background1" w:themeFillShade="F2"/>
          </w:tcPr>
          <w:p w14:paraId="7C3C6263" w14:textId="77777777" w:rsidR="00E51B98" w:rsidRPr="00ED7396" w:rsidRDefault="00E51B98" w:rsidP="000204C7">
            <w:pPr>
              <w:rPr>
                <w:rFonts w:ascii="Calibri" w:hAnsi="Calibri"/>
                <w:i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INQ 271 </w:t>
            </w:r>
            <w:r w:rsidRPr="007C1D01">
              <w:rPr>
                <w:rFonts w:ascii="Calibri" w:hAnsi="Calibri"/>
                <w:i/>
                <w:sz w:val="20"/>
                <w:szCs w:val="20"/>
              </w:rPr>
              <w:t xml:space="preserve">Human Heritage II 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3397726B" w14:textId="77777777" w:rsidR="00E51B98" w:rsidRPr="00ED7396" w:rsidRDefault="00E51B98" w:rsidP="00020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396">
              <w:rPr>
                <w:rFonts w:ascii="Calibri" w:hAnsi="Calibri"/>
                <w:sz w:val="18"/>
                <w:szCs w:val="18"/>
              </w:rPr>
              <w:t>H2, H2G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540D2F7D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F2F2F2" w:themeFill="background1" w:themeFillShade="F2"/>
          </w:tcPr>
          <w:p w14:paraId="18E3A63B" w14:textId="77777777" w:rsidR="00E51B98" w:rsidRPr="007C1D01" w:rsidRDefault="00E51B98" w:rsidP="00020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D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14:paraId="1A1DBC14" w14:textId="77777777" w:rsidR="008E5EAF" w:rsidRPr="00686FB3" w:rsidRDefault="008E5EAF">
      <w:pPr>
        <w:rPr>
          <w:rFonts w:ascii="Calibri" w:hAnsi="Calibri"/>
          <w:sz w:val="20"/>
          <w:szCs w:val="20"/>
        </w:rPr>
      </w:pPr>
    </w:p>
    <w:sectPr w:rsidR="008E5EAF" w:rsidRPr="00686FB3" w:rsidSect="000F7F64">
      <w:headerReference w:type="default" r:id="rId7"/>
      <w:pgSz w:w="12240" w:h="15840"/>
      <w:pgMar w:top="450" w:right="63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A4D8" w14:textId="77777777" w:rsidR="00A91B0B" w:rsidRDefault="00A91B0B" w:rsidP="00A91B0B">
      <w:r>
        <w:separator/>
      </w:r>
    </w:p>
  </w:endnote>
  <w:endnote w:type="continuationSeparator" w:id="0">
    <w:p w14:paraId="3CB3038A" w14:textId="77777777" w:rsidR="00A91B0B" w:rsidRDefault="00A91B0B" w:rsidP="00A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0F88" w14:textId="77777777" w:rsidR="00A91B0B" w:rsidRDefault="00A91B0B" w:rsidP="00A91B0B">
      <w:r>
        <w:separator/>
      </w:r>
    </w:p>
  </w:footnote>
  <w:footnote w:type="continuationSeparator" w:id="0">
    <w:p w14:paraId="6CF17D90" w14:textId="77777777" w:rsidR="00A91B0B" w:rsidRDefault="00A91B0B" w:rsidP="00A9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19D4" w14:textId="07886022" w:rsidR="00620411" w:rsidRPr="000F7F64" w:rsidRDefault="000F7F64" w:rsidP="00620411">
    <w:pPr>
      <w:pStyle w:val="Header"/>
      <w:jc w:val="center"/>
      <w:rPr>
        <w:rFonts w:asciiTheme="minorHAnsi" w:hAnsiTheme="minorHAnsi"/>
        <w:b/>
        <w:sz w:val="16"/>
        <w:szCs w:val="16"/>
      </w:rPr>
    </w:pPr>
    <w:r w:rsidRPr="000F7F64">
      <w:rPr>
        <w:rFonts w:asciiTheme="minorHAnsi" w:hAnsiTheme="minorHAnsi"/>
        <w:b/>
      </w:rPr>
      <w:t xml:space="preserve">INQ Perspectives and Substitution Declaration  </w:t>
    </w:r>
    <w:r w:rsidRPr="000F7F64">
      <w:rPr>
        <w:rFonts w:asciiTheme="minorHAnsi" w:hAnsiTheme="minorHAnsi"/>
        <w:b/>
        <w:sz w:val="16"/>
        <w:szCs w:val="16"/>
      </w:rPr>
      <w:t xml:space="preserve">rev </w:t>
    </w:r>
    <w:r w:rsidR="008F201C">
      <w:rPr>
        <w:rFonts w:asciiTheme="minorHAnsi" w:hAnsiTheme="minorHAnsi"/>
        <w:b/>
        <w:sz w:val="16"/>
        <w:szCs w:val="16"/>
      </w:rPr>
      <w:t>Mar 21, 2022</w:t>
    </w:r>
  </w:p>
  <w:p w14:paraId="13D52445" w14:textId="77777777" w:rsidR="00A91B0B" w:rsidRDefault="00A9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913"/>
    <w:multiLevelType w:val="hybridMultilevel"/>
    <w:tmpl w:val="7F84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1CD1"/>
    <w:multiLevelType w:val="hybridMultilevel"/>
    <w:tmpl w:val="4ED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86B"/>
    <w:multiLevelType w:val="hybridMultilevel"/>
    <w:tmpl w:val="53F6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6798"/>
    <w:multiLevelType w:val="hybridMultilevel"/>
    <w:tmpl w:val="EDB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5FA"/>
    <w:multiLevelType w:val="hybridMultilevel"/>
    <w:tmpl w:val="BDE0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9B18A2-2DC8-4615-A5FF-6B0E2BD6B9D8}"/>
    <w:docVar w:name="dgnword-eventsink" w:val="78539560"/>
  </w:docVars>
  <w:rsids>
    <w:rsidRoot w:val="0088341F"/>
    <w:rsid w:val="00041236"/>
    <w:rsid w:val="000516C2"/>
    <w:rsid w:val="000655D4"/>
    <w:rsid w:val="00097F55"/>
    <w:rsid w:val="000B683A"/>
    <w:rsid w:val="000F3F9E"/>
    <w:rsid w:val="000F7F64"/>
    <w:rsid w:val="001256F6"/>
    <w:rsid w:val="00145D7B"/>
    <w:rsid w:val="00160B84"/>
    <w:rsid w:val="0017438B"/>
    <w:rsid w:val="001862CE"/>
    <w:rsid w:val="00192D12"/>
    <w:rsid w:val="001B3295"/>
    <w:rsid w:val="0021071E"/>
    <w:rsid w:val="002A35BB"/>
    <w:rsid w:val="002D084C"/>
    <w:rsid w:val="002F112C"/>
    <w:rsid w:val="0030507E"/>
    <w:rsid w:val="00333002"/>
    <w:rsid w:val="00335A27"/>
    <w:rsid w:val="00343354"/>
    <w:rsid w:val="00355A82"/>
    <w:rsid w:val="00373193"/>
    <w:rsid w:val="003E1CB5"/>
    <w:rsid w:val="00434B63"/>
    <w:rsid w:val="004825BD"/>
    <w:rsid w:val="004D5DB8"/>
    <w:rsid w:val="004E276B"/>
    <w:rsid w:val="004E339D"/>
    <w:rsid w:val="00516DDB"/>
    <w:rsid w:val="00517603"/>
    <w:rsid w:val="0052656A"/>
    <w:rsid w:val="005651CB"/>
    <w:rsid w:val="00583634"/>
    <w:rsid w:val="005836C2"/>
    <w:rsid w:val="0058534B"/>
    <w:rsid w:val="00594820"/>
    <w:rsid w:val="005C1736"/>
    <w:rsid w:val="005E5147"/>
    <w:rsid w:val="00610C57"/>
    <w:rsid w:val="00620411"/>
    <w:rsid w:val="006577F1"/>
    <w:rsid w:val="006641DE"/>
    <w:rsid w:val="00686FB3"/>
    <w:rsid w:val="00687D44"/>
    <w:rsid w:val="006E32CA"/>
    <w:rsid w:val="006F76E2"/>
    <w:rsid w:val="00701FEE"/>
    <w:rsid w:val="00767BD2"/>
    <w:rsid w:val="007814D4"/>
    <w:rsid w:val="007B5388"/>
    <w:rsid w:val="008400FA"/>
    <w:rsid w:val="008705E7"/>
    <w:rsid w:val="00876E0D"/>
    <w:rsid w:val="0088341F"/>
    <w:rsid w:val="008A759E"/>
    <w:rsid w:val="008B5C7E"/>
    <w:rsid w:val="008B768F"/>
    <w:rsid w:val="008D1A28"/>
    <w:rsid w:val="008E5EAF"/>
    <w:rsid w:val="008F201C"/>
    <w:rsid w:val="00900DC3"/>
    <w:rsid w:val="00911805"/>
    <w:rsid w:val="009144C7"/>
    <w:rsid w:val="00933BA6"/>
    <w:rsid w:val="00974F6D"/>
    <w:rsid w:val="009A3655"/>
    <w:rsid w:val="009A491B"/>
    <w:rsid w:val="009D6110"/>
    <w:rsid w:val="009E1832"/>
    <w:rsid w:val="00A070A4"/>
    <w:rsid w:val="00A22830"/>
    <w:rsid w:val="00A3415C"/>
    <w:rsid w:val="00A41A13"/>
    <w:rsid w:val="00A6031B"/>
    <w:rsid w:val="00A91B0B"/>
    <w:rsid w:val="00AA6B6D"/>
    <w:rsid w:val="00AD03AE"/>
    <w:rsid w:val="00AE40BA"/>
    <w:rsid w:val="00AF10C1"/>
    <w:rsid w:val="00AF18FD"/>
    <w:rsid w:val="00B35411"/>
    <w:rsid w:val="00B53D87"/>
    <w:rsid w:val="00B53F8F"/>
    <w:rsid w:val="00B61B69"/>
    <w:rsid w:val="00BB5854"/>
    <w:rsid w:val="00BC716B"/>
    <w:rsid w:val="00C15791"/>
    <w:rsid w:val="00C327B1"/>
    <w:rsid w:val="00C35947"/>
    <w:rsid w:val="00C62068"/>
    <w:rsid w:val="00C64D26"/>
    <w:rsid w:val="00CA2F78"/>
    <w:rsid w:val="00DB5225"/>
    <w:rsid w:val="00E128B4"/>
    <w:rsid w:val="00E356B2"/>
    <w:rsid w:val="00E47436"/>
    <w:rsid w:val="00E51B98"/>
    <w:rsid w:val="00E9227B"/>
    <w:rsid w:val="00EA5B5B"/>
    <w:rsid w:val="00EB3D21"/>
    <w:rsid w:val="00F318C4"/>
    <w:rsid w:val="00F33CA9"/>
    <w:rsid w:val="00F52F1A"/>
    <w:rsid w:val="00F718BD"/>
    <w:rsid w:val="00F72DDB"/>
    <w:rsid w:val="00F80CEE"/>
    <w:rsid w:val="00FB4E7C"/>
    <w:rsid w:val="00FC4B9B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0FF4FB"/>
  <w15:docId w15:val="{672D2121-AA32-4429-8833-752292BA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C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tenbruns</dc:creator>
  <cp:lastModifiedBy>Taylor, David</cp:lastModifiedBy>
  <cp:revision>5</cp:revision>
  <cp:lastPrinted>2020-02-07T18:24:00Z</cp:lastPrinted>
  <dcterms:created xsi:type="dcterms:W3CDTF">2021-11-08T13:45:00Z</dcterms:created>
  <dcterms:modified xsi:type="dcterms:W3CDTF">2022-03-21T12:39:00Z</dcterms:modified>
</cp:coreProperties>
</file>