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7B" w:rsidRPr="006001CC" w:rsidRDefault="00E0329C" w:rsidP="00AB6B7B">
      <w:pPr>
        <w:spacing w:after="0"/>
        <w:jc w:val="center"/>
        <w:rPr>
          <w:sz w:val="18"/>
          <w:szCs w:val="18"/>
        </w:rPr>
      </w:pPr>
      <w:r>
        <w:rPr>
          <w:b/>
          <w:sz w:val="28"/>
          <w:szCs w:val="28"/>
        </w:rPr>
        <w:t>HNRS 110 Honors Seminar</w:t>
      </w:r>
      <w:r w:rsidR="006001CC">
        <w:rPr>
          <w:b/>
          <w:sz w:val="28"/>
          <w:szCs w:val="28"/>
        </w:rPr>
        <w:t xml:space="preserve">  </w:t>
      </w:r>
      <w:r w:rsidR="006001CC">
        <w:rPr>
          <w:sz w:val="18"/>
          <w:szCs w:val="18"/>
        </w:rPr>
        <w:t>rev Jul 2016</w:t>
      </w:r>
      <w:bookmarkStart w:id="0" w:name="_GoBack"/>
      <w:bookmarkEnd w:id="0"/>
    </w:p>
    <w:p w:rsidR="00AB6B7B" w:rsidRPr="00E87122" w:rsidRDefault="00AB6B7B" w:rsidP="00AB6B7B">
      <w:pPr>
        <w:spacing w:after="0"/>
        <w:rPr>
          <w:b/>
          <w:sz w:val="24"/>
          <w:szCs w:val="24"/>
        </w:rPr>
      </w:pPr>
    </w:p>
    <w:p w:rsidR="00AB6B7B" w:rsidRPr="00E62A11" w:rsidRDefault="00AB6B7B" w:rsidP="00AB6B7B">
      <w:pPr>
        <w:tabs>
          <w:tab w:val="left" w:pos="8640"/>
        </w:tabs>
        <w:spacing w:after="0"/>
        <w:ind w:right="360"/>
        <w:rPr>
          <w:sz w:val="24"/>
          <w:szCs w:val="24"/>
        </w:rPr>
      </w:pPr>
      <w:r w:rsidRPr="00E62A11">
        <w:rPr>
          <w:b/>
          <w:sz w:val="24"/>
          <w:szCs w:val="24"/>
        </w:rPr>
        <w:t>C</w:t>
      </w:r>
      <w:r>
        <w:rPr>
          <w:b/>
          <w:sz w:val="24"/>
          <w:szCs w:val="24"/>
        </w:rPr>
        <w:t>atalog c</w:t>
      </w:r>
      <w:r w:rsidRPr="00E62A11">
        <w:rPr>
          <w:b/>
          <w:sz w:val="24"/>
          <w:szCs w:val="24"/>
        </w:rPr>
        <w:t>ourse description:</w:t>
      </w:r>
      <w:r w:rsidRPr="00E62A11">
        <w:rPr>
          <w:sz w:val="24"/>
          <w:szCs w:val="24"/>
        </w:rPr>
        <w:t xml:space="preserve"> </w:t>
      </w:r>
      <w:r w:rsidRPr="00264C97">
        <w:t xml:space="preserve">Introduces students to critical thinking in higher education, taking as its starting point a focused topic in a scholarly field.  Critical inquiry will be taught in the context of careful reading of </w:t>
      </w:r>
      <w:r w:rsidRPr="00264C97">
        <w:rPr>
          <w:bCs/>
        </w:rPr>
        <w:t>important intellectual works</w:t>
      </w:r>
      <w:r w:rsidRPr="00264C97">
        <w:t>, as well as inquiry-based writing assignments.  Research and collaborative skills will also be developed in an integrative setting designed to promote a student’s journey toward a life of critical inquiry.</w:t>
      </w:r>
      <w:r>
        <w:t xml:space="preserve">  Course cap = 15</w:t>
      </w:r>
    </w:p>
    <w:p w:rsidR="00AB6B7B" w:rsidRDefault="00AB6B7B" w:rsidP="00AB6B7B">
      <w:pPr>
        <w:spacing w:after="0"/>
        <w:rPr>
          <w:b/>
          <w:sz w:val="24"/>
          <w:szCs w:val="24"/>
        </w:rPr>
      </w:pPr>
    </w:p>
    <w:p w:rsidR="005D5D57" w:rsidRDefault="005D5D57" w:rsidP="00AB6B7B">
      <w:pPr>
        <w:spacing w:after="0"/>
      </w:pPr>
      <w:r>
        <w:t>The most challenging Honors requirement for recent proposers has been #16 engagement in a community beyond the classroom. When you ar</w:t>
      </w:r>
      <w:r w:rsidR="00CA7F5A">
        <w:t>e designing a new Honors course</w:t>
      </w:r>
      <w:r>
        <w:t>, please start with a topic and this requirement. Make them work together before you start putting in the content and all of the other requirements. Tacking a token engagement piece onto a largely completely conceived proposal will show, and GEC is likely to return the proposal to you for revision. No one wants that. Start with a topic and imagine community engagement first. Integrate it into your course, then the other stuff will follow. The Honors Director or Gen Ed Director would be happy to bounce around some ideas.</w:t>
      </w:r>
    </w:p>
    <w:p w:rsidR="00A679BB" w:rsidRPr="00A5663D" w:rsidRDefault="005D5D57" w:rsidP="00AB6B7B">
      <w:pPr>
        <w:spacing w:after="0"/>
      </w:pPr>
      <w:r>
        <w:t xml:space="preserve"> </w:t>
      </w:r>
    </w:p>
    <w:p w:rsidR="00AB6B7B" w:rsidRPr="006B47B9" w:rsidRDefault="00AB6B7B" w:rsidP="00AB6B7B">
      <w:pPr>
        <w:spacing w:after="0"/>
        <w:rPr>
          <w:b/>
          <w:sz w:val="24"/>
          <w:szCs w:val="24"/>
        </w:rPr>
      </w:pPr>
      <w:r>
        <w:rPr>
          <w:b/>
          <w:sz w:val="24"/>
          <w:szCs w:val="24"/>
        </w:rPr>
        <w:t>Requirement Highlights</w:t>
      </w:r>
    </w:p>
    <w:p w:rsidR="00AB6B7B" w:rsidRPr="00264C97" w:rsidRDefault="00E0329C" w:rsidP="00AB6B7B">
      <w:pPr>
        <w:spacing w:after="0"/>
      </w:pPr>
      <w:r>
        <w:t>Each HNRS</w:t>
      </w:r>
      <w:r w:rsidR="00AB6B7B" w:rsidRPr="00264C97">
        <w:t xml:space="preserve"> 110 course will:</w:t>
      </w:r>
    </w:p>
    <w:p w:rsidR="00AB6B7B" w:rsidRPr="00264C97" w:rsidRDefault="00AB6B7B" w:rsidP="00AB6B7B">
      <w:pPr>
        <w:pStyle w:val="ListParagraph"/>
        <w:numPr>
          <w:ilvl w:val="0"/>
          <w:numId w:val="3"/>
        </w:numPr>
        <w:spacing w:after="0"/>
      </w:pPr>
      <w:r>
        <w:t>W</w:t>
      </w:r>
      <w:r w:rsidRPr="00264C97">
        <w:t>ork within a focused topic in a scholarly field, though not primarily as an introduction to a major</w:t>
      </w:r>
      <w:r w:rsidRPr="00264C97">
        <w:rPr>
          <w:rFonts w:ascii="Calibri" w:hAnsi="Calibri"/>
        </w:rPr>
        <w:t xml:space="preserve"> </w:t>
      </w:r>
    </w:p>
    <w:p w:rsidR="00AB6B7B" w:rsidRPr="00E0329C" w:rsidRDefault="00AB6B7B" w:rsidP="00AB6B7B">
      <w:pPr>
        <w:pStyle w:val="ListParagraph"/>
        <w:numPr>
          <w:ilvl w:val="0"/>
          <w:numId w:val="3"/>
        </w:numPr>
        <w:spacing w:after="0"/>
      </w:pPr>
      <w:r>
        <w:rPr>
          <w:rFonts w:ascii="Calibri" w:hAnsi="Calibri"/>
        </w:rPr>
        <w:t>I</w:t>
      </w:r>
      <w:r w:rsidRPr="00264C97">
        <w:rPr>
          <w:rFonts w:ascii="Calibri" w:hAnsi="Calibri"/>
        </w:rPr>
        <w:t>nclude a number of intellectually rigorous readings, along with any other types of source materials relevant to the instructor’s discipline</w:t>
      </w:r>
    </w:p>
    <w:p w:rsidR="00AB6B7B" w:rsidRPr="00264C97" w:rsidRDefault="00AB6B7B" w:rsidP="00AB6B7B">
      <w:pPr>
        <w:pStyle w:val="ListParagraph"/>
        <w:numPr>
          <w:ilvl w:val="0"/>
          <w:numId w:val="3"/>
        </w:numPr>
        <w:spacing w:after="0"/>
      </w:pPr>
      <w:r>
        <w:t>H</w:t>
      </w:r>
      <w:r w:rsidRPr="00264C97">
        <w:t>elp students develop writing skills  through comments on drafts, revisions, organization, fundamentals of proper usage, and clarity of expression</w:t>
      </w:r>
    </w:p>
    <w:p w:rsidR="00AB6B7B" w:rsidRPr="00264C97" w:rsidRDefault="00AB6B7B" w:rsidP="00AB6B7B">
      <w:pPr>
        <w:pStyle w:val="ListParagraph"/>
        <w:numPr>
          <w:ilvl w:val="0"/>
          <w:numId w:val="3"/>
        </w:numPr>
        <w:spacing w:after="0"/>
      </w:pPr>
      <w:r>
        <w:t>D</w:t>
      </w:r>
      <w:r w:rsidRPr="00264C97">
        <w:t xml:space="preserve">erive most of the final grade from various forms of writing </w:t>
      </w:r>
    </w:p>
    <w:p w:rsidR="00AB6B7B" w:rsidRPr="00264C97" w:rsidRDefault="00AB6B7B" w:rsidP="00AB6B7B">
      <w:pPr>
        <w:pStyle w:val="ListParagraph"/>
        <w:numPr>
          <w:ilvl w:val="0"/>
          <w:numId w:val="3"/>
        </w:numPr>
        <w:spacing w:after="0"/>
      </w:pPr>
      <w:r>
        <w:t>R</w:t>
      </w:r>
      <w:r w:rsidRPr="00264C97">
        <w:t xml:space="preserve">equire around 30 pages of writing (not including drafts, but </w:t>
      </w:r>
      <w:r>
        <w:t xml:space="preserve">this page count </w:t>
      </w:r>
      <w:r w:rsidRPr="00264C97">
        <w:t>may include short  and informal writings)</w:t>
      </w:r>
    </w:p>
    <w:p w:rsidR="00AB6B7B" w:rsidRPr="00264C97" w:rsidRDefault="00AB6B7B" w:rsidP="00AB6B7B">
      <w:pPr>
        <w:pStyle w:val="ListParagraph"/>
        <w:numPr>
          <w:ilvl w:val="0"/>
          <w:numId w:val="3"/>
        </w:numPr>
        <w:spacing w:after="0"/>
      </w:pPr>
      <w:r>
        <w:t xml:space="preserve"> I</w:t>
      </w:r>
      <w:r w:rsidRPr="00264C97">
        <w:t xml:space="preserve">nclude at least three formal papers requiring drafting and revision </w:t>
      </w:r>
    </w:p>
    <w:p w:rsidR="00AB6B7B" w:rsidRPr="00264C97" w:rsidRDefault="00AB6B7B" w:rsidP="00AB6B7B">
      <w:pPr>
        <w:pStyle w:val="ListParagraph"/>
        <w:numPr>
          <w:ilvl w:val="0"/>
          <w:numId w:val="3"/>
        </w:numPr>
        <w:spacing w:after="0"/>
      </w:pPr>
      <w:r>
        <w:t>R</w:t>
      </w:r>
      <w:r w:rsidRPr="00264C97">
        <w:t>equire a research paper or other assignment requiring the development of research skills.</w:t>
      </w:r>
    </w:p>
    <w:p w:rsidR="00AB6B7B" w:rsidRPr="00264C97" w:rsidRDefault="00AB6B7B" w:rsidP="00AB6B7B">
      <w:pPr>
        <w:pStyle w:val="ListParagraph"/>
        <w:numPr>
          <w:ilvl w:val="0"/>
          <w:numId w:val="3"/>
        </w:numPr>
        <w:spacing w:after="0"/>
      </w:pPr>
      <w:r>
        <w:t>I</w:t>
      </w:r>
      <w:r w:rsidRPr="00264C97">
        <w:t>ntroduce students to critical thinking in higher education</w:t>
      </w:r>
    </w:p>
    <w:p w:rsidR="00AB6B7B" w:rsidRPr="00264C97" w:rsidRDefault="00AB6B7B" w:rsidP="00AB6B7B">
      <w:pPr>
        <w:pStyle w:val="ListParagraph"/>
        <w:numPr>
          <w:ilvl w:val="0"/>
          <w:numId w:val="3"/>
        </w:numPr>
        <w:spacing w:after="0"/>
      </w:pPr>
      <w:r>
        <w:t>T</w:t>
      </w:r>
      <w:r w:rsidRPr="00264C97">
        <w:t>rain students in careful reading of important intellectual works</w:t>
      </w:r>
    </w:p>
    <w:p w:rsidR="00AB6B7B" w:rsidRPr="00264C97" w:rsidRDefault="00AB6B7B" w:rsidP="00AB6B7B">
      <w:pPr>
        <w:pStyle w:val="ListParagraph"/>
        <w:numPr>
          <w:ilvl w:val="0"/>
          <w:numId w:val="3"/>
        </w:numPr>
        <w:spacing w:after="0"/>
      </w:pPr>
      <w:r>
        <w:t>T</w:t>
      </w:r>
      <w:r w:rsidRPr="00264C97">
        <w:t>rain students in inquiry-based writing, using writing as a tool of thought</w:t>
      </w:r>
    </w:p>
    <w:p w:rsidR="00AB6B7B" w:rsidRDefault="00AB6B7B" w:rsidP="00AB6B7B">
      <w:pPr>
        <w:pStyle w:val="ListParagraph"/>
        <w:numPr>
          <w:ilvl w:val="0"/>
          <w:numId w:val="3"/>
        </w:numPr>
        <w:spacing w:after="0"/>
      </w:pPr>
      <w:r>
        <w:t>D</w:t>
      </w:r>
      <w:r w:rsidRPr="00264C97">
        <w:t>evelop students’ research skills</w:t>
      </w:r>
    </w:p>
    <w:p w:rsidR="00890C2A" w:rsidRPr="004F58D4" w:rsidRDefault="00890C2A" w:rsidP="00AB6B7B">
      <w:pPr>
        <w:pStyle w:val="ListParagraph"/>
        <w:numPr>
          <w:ilvl w:val="0"/>
          <w:numId w:val="3"/>
        </w:numPr>
        <w:spacing w:after="0"/>
      </w:pPr>
      <w:r w:rsidRPr="004F58D4">
        <w:t>Include a class visit to the library/reference librarian</w:t>
      </w:r>
    </w:p>
    <w:p w:rsidR="004F58D4" w:rsidRPr="004F58D4" w:rsidRDefault="00AB6B7B" w:rsidP="004F58D4">
      <w:pPr>
        <w:pStyle w:val="ListParagraph"/>
        <w:numPr>
          <w:ilvl w:val="0"/>
          <w:numId w:val="3"/>
        </w:numPr>
        <w:spacing w:after="0"/>
      </w:pPr>
      <w:r w:rsidRPr="004F58D4">
        <w:t xml:space="preserve">Require Hacker’s </w:t>
      </w:r>
      <w:r w:rsidRPr="004F58D4">
        <w:rPr>
          <w:i/>
        </w:rPr>
        <w:t>A Writer’s Reference, Roanoke College custom edition</w:t>
      </w:r>
      <w:r w:rsidR="004F58D4" w:rsidRPr="004F58D4">
        <w:rPr>
          <w:rFonts w:ascii="Calibri" w:hAnsi="Calibri"/>
        </w:rPr>
        <w:t xml:space="preserve"> </w:t>
      </w:r>
    </w:p>
    <w:p w:rsidR="004F58D4" w:rsidRPr="00462F21" w:rsidRDefault="004F58D4" w:rsidP="004F58D4">
      <w:pPr>
        <w:pStyle w:val="ListParagraph"/>
        <w:numPr>
          <w:ilvl w:val="0"/>
          <w:numId w:val="3"/>
        </w:numPr>
        <w:spacing w:after="0"/>
      </w:pPr>
      <w:r w:rsidRPr="00462F21">
        <w:rPr>
          <w:rFonts w:ascii="Calibri" w:hAnsi="Calibri"/>
        </w:rPr>
        <w:t>Include assignments and reading that are more challenging or more sophisticated than would be used in equivalent non-Honors courses</w:t>
      </w:r>
    </w:p>
    <w:p w:rsidR="004F58D4" w:rsidRPr="00462F21" w:rsidRDefault="004F58D4" w:rsidP="004F58D4">
      <w:pPr>
        <w:pStyle w:val="ListParagraph"/>
        <w:numPr>
          <w:ilvl w:val="0"/>
          <w:numId w:val="3"/>
        </w:numPr>
        <w:spacing w:after="0"/>
      </w:pPr>
      <w:r w:rsidRPr="00462F21">
        <w:rPr>
          <w:rFonts w:ascii="Calibri" w:hAnsi="Calibri"/>
        </w:rPr>
        <w:t>Require students to make connections between course content and personal, civic, or global issues.</w:t>
      </w:r>
    </w:p>
    <w:p w:rsidR="00AB6B7B" w:rsidRPr="00462F21" w:rsidRDefault="004F58D4" w:rsidP="004F58D4">
      <w:pPr>
        <w:pStyle w:val="ListParagraph"/>
        <w:numPr>
          <w:ilvl w:val="0"/>
          <w:numId w:val="3"/>
        </w:numPr>
        <w:spacing w:after="0"/>
      </w:pPr>
      <w:r w:rsidRPr="00462F21">
        <w:rPr>
          <w:rFonts w:ascii="Calibri" w:hAnsi="Calibri"/>
        </w:rPr>
        <w:lastRenderedPageBreak/>
        <w:t>Require students to engage with a community beyond the classroom.  This engagement will be a significant course component, equivalent at a minimum to several hours of class time or a significant graded assignment</w:t>
      </w:r>
    </w:p>
    <w:p w:rsidR="00AB6B7B" w:rsidRPr="00264C97" w:rsidRDefault="00AB6B7B" w:rsidP="00AB6B7B">
      <w:pPr>
        <w:spacing w:after="0"/>
      </w:pPr>
      <w:r w:rsidRPr="00264C97">
        <w:t>Tests and a final exam may be included if desired by the instructor, but are not required.</w:t>
      </w:r>
    </w:p>
    <w:p w:rsidR="00AB6B7B" w:rsidRPr="007F2EA7" w:rsidRDefault="00AB6B7B" w:rsidP="00AB6B7B">
      <w:pPr>
        <w:spacing w:after="0"/>
        <w:rPr>
          <w:sz w:val="24"/>
          <w:szCs w:val="24"/>
        </w:rPr>
      </w:pPr>
    </w:p>
    <w:p w:rsidR="00AB6B7B" w:rsidRDefault="00AB6B7B" w:rsidP="00AB6B7B">
      <w:pPr>
        <w:spacing w:after="0"/>
        <w:rPr>
          <w:b/>
          <w:sz w:val="24"/>
          <w:szCs w:val="24"/>
        </w:rPr>
      </w:pPr>
      <w:r w:rsidRPr="00E62A11">
        <w:rPr>
          <w:b/>
          <w:sz w:val="24"/>
          <w:szCs w:val="24"/>
        </w:rPr>
        <w:t>Syllabus Checklist</w:t>
      </w:r>
    </w:p>
    <w:p w:rsidR="00AB6B7B" w:rsidRPr="00264C97" w:rsidRDefault="00A679BB" w:rsidP="00AB6B7B">
      <w:pPr>
        <w:spacing w:after="0"/>
      </w:pPr>
      <w:r>
        <w:t>In addition to demonstrating the elements above, t</w:t>
      </w:r>
      <w:r w:rsidR="00AB6B7B" w:rsidRPr="00264C97">
        <w:t>he syllabus must include</w:t>
      </w:r>
    </w:p>
    <w:p w:rsidR="00AB6B7B" w:rsidRPr="00264C97" w:rsidRDefault="00AB6B7B" w:rsidP="00AB6B7B">
      <w:pPr>
        <w:pStyle w:val="ListParagraph"/>
        <w:numPr>
          <w:ilvl w:val="0"/>
          <w:numId w:val="4"/>
        </w:numPr>
        <w:spacing w:after="0"/>
      </w:pPr>
      <w:r w:rsidRPr="00264C97">
        <w:rPr>
          <w:rFonts w:eastAsia="Times New Roman" w:cs="Helvetica"/>
        </w:rPr>
        <w:t xml:space="preserve">Instructor's office location and office hours </w:t>
      </w:r>
    </w:p>
    <w:p w:rsidR="00AB6B7B" w:rsidRPr="00264C97" w:rsidRDefault="00AB6B7B" w:rsidP="00AB6B7B">
      <w:pPr>
        <w:pStyle w:val="ListParagraph"/>
        <w:numPr>
          <w:ilvl w:val="0"/>
          <w:numId w:val="4"/>
        </w:numPr>
        <w:spacing w:after="0"/>
      </w:pPr>
      <w:r w:rsidRPr="00264C97">
        <w:rPr>
          <w:rFonts w:eastAsia="Times New Roman" w:cs="Helvetica"/>
        </w:rPr>
        <w:t xml:space="preserve">Description of course content and teaching methods </w:t>
      </w:r>
    </w:p>
    <w:p w:rsidR="00AB6B7B" w:rsidRPr="00264C97" w:rsidRDefault="00E0329C" w:rsidP="00AB6B7B">
      <w:pPr>
        <w:pStyle w:val="ListParagraph"/>
        <w:numPr>
          <w:ilvl w:val="0"/>
          <w:numId w:val="4"/>
        </w:numPr>
        <w:spacing w:after="0"/>
      </w:pPr>
      <w:r>
        <w:rPr>
          <w:rFonts w:eastAsia="Times New Roman" w:cs="Helvetica"/>
        </w:rPr>
        <w:t>The learning outcomes for HNRS</w:t>
      </w:r>
      <w:r w:rsidR="00AB6B7B" w:rsidRPr="00264C97">
        <w:rPr>
          <w:rFonts w:eastAsia="Times New Roman" w:cs="Helvetica"/>
        </w:rPr>
        <w:t xml:space="preserve"> 110 as listed below.  Instructors may, if they wish, include additional learning outcomes beyond the common set or may include some additional comments about how the common learning outcomes are realized in this specific course.</w:t>
      </w:r>
    </w:p>
    <w:p w:rsidR="00AB6B7B" w:rsidRPr="00264C97" w:rsidRDefault="00AB6B7B" w:rsidP="00AB6B7B">
      <w:pPr>
        <w:numPr>
          <w:ilvl w:val="0"/>
          <w:numId w:val="4"/>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Any materials that students are expected to buy, read, or use during the course </w:t>
      </w:r>
    </w:p>
    <w:p w:rsidR="00AB6B7B" w:rsidRPr="00264C97" w:rsidRDefault="00AB6B7B" w:rsidP="00AB6B7B">
      <w:pPr>
        <w:numPr>
          <w:ilvl w:val="0"/>
          <w:numId w:val="4"/>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Classroom and attendance policies (with penalties explained) </w:t>
      </w:r>
    </w:p>
    <w:p w:rsidR="00AB6B7B" w:rsidRPr="00264C97" w:rsidRDefault="00AB6B7B" w:rsidP="00AB6B7B">
      <w:pPr>
        <w:numPr>
          <w:ilvl w:val="0"/>
          <w:numId w:val="4"/>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Assignments students will be required to undertake </w:t>
      </w:r>
    </w:p>
    <w:p w:rsidR="00AB6B7B" w:rsidRPr="00264C97" w:rsidRDefault="00AB6B7B" w:rsidP="00AB6B7B">
      <w:pPr>
        <w:numPr>
          <w:ilvl w:val="0"/>
          <w:numId w:val="4"/>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Grading policy (ideally a grading scale with penalties explained) </w:t>
      </w:r>
    </w:p>
    <w:p w:rsidR="00AB6B7B" w:rsidRPr="00264C97" w:rsidRDefault="00AB6B7B" w:rsidP="00AB6B7B">
      <w:pPr>
        <w:numPr>
          <w:ilvl w:val="0"/>
          <w:numId w:val="4"/>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Testing policy, including make-up tests </w:t>
      </w:r>
    </w:p>
    <w:p w:rsidR="00AB6B7B" w:rsidRPr="00264C97" w:rsidRDefault="00AB6B7B" w:rsidP="00AB6B7B">
      <w:pPr>
        <w:numPr>
          <w:ilvl w:val="0"/>
          <w:numId w:val="4"/>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RC's academic integrity policy as it applies to the class </w:t>
      </w:r>
    </w:p>
    <w:p w:rsidR="00AB6B7B" w:rsidRDefault="00AB6B7B" w:rsidP="00AB6B7B">
      <w:pPr>
        <w:numPr>
          <w:ilvl w:val="0"/>
          <w:numId w:val="4"/>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 outline showing proposed topics, students' assignments, reading list, laboratory work, etc. to be required </w:t>
      </w:r>
    </w:p>
    <w:p w:rsidR="00AB6B7B" w:rsidRDefault="00A679BB" w:rsidP="00AB6B7B">
      <w:pPr>
        <w:numPr>
          <w:ilvl w:val="0"/>
          <w:numId w:val="4"/>
        </w:numPr>
        <w:shd w:val="clear" w:color="auto" w:fill="FFFFFF"/>
        <w:spacing w:before="100" w:beforeAutospacing="1" w:after="100" w:afterAutospacing="1" w:line="270" w:lineRule="atLeast"/>
        <w:rPr>
          <w:rFonts w:eastAsia="Times New Roman" w:cs="Helvetica"/>
        </w:rPr>
      </w:pPr>
      <w:r>
        <w:rPr>
          <w:rFonts w:eastAsia="Times New Roman" w:cs="Helvetica"/>
        </w:rPr>
        <w:t>T</w:t>
      </w:r>
      <w:r w:rsidR="00AB6B7B">
        <w:rPr>
          <w:rFonts w:eastAsia="Times New Roman" w:cs="Helvetica"/>
        </w:rPr>
        <w:t xml:space="preserve">he focus </w:t>
      </w:r>
      <w:r>
        <w:rPr>
          <w:rFonts w:eastAsia="Times New Roman" w:cs="Helvetica"/>
        </w:rPr>
        <w:t>of inquiry</w:t>
      </w:r>
    </w:p>
    <w:p w:rsidR="00A679BB" w:rsidRPr="00264C97" w:rsidRDefault="00A679BB" w:rsidP="00AB6B7B">
      <w:pPr>
        <w:numPr>
          <w:ilvl w:val="0"/>
          <w:numId w:val="4"/>
        </w:numPr>
        <w:shd w:val="clear" w:color="auto" w:fill="FFFFFF"/>
        <w:spacing w:before="100" w:beforeAutospacing="1" w:after="100" w:afterAutospacing="1" w:line="270" w:lineRule="atLeast"/>
        <w:rPr>
          <w:rFonts w:eastAsia="Times New Roman" w:cs="Helvetica"/>
        </w:rPr>
      </w:pPr>
      <w:r>
        <w:rPr>
          <w:rFonts w:eastAsia="Times New Roman" w:cs="Helvetica"/>
        </w:rPr>
        <w:t>Be sure that any boilerplate sections (e.g. related to tutoring or Writing Center) are up to date and appropriate for the course.</w:t>
      </w:r>
    </w:p>
    <w:p w:rsidR="00AB6B7B" w:rsidRPr="00E87122" w:rsidRDefault="00AB6B7B" w:rsidP="00AB6B7B">
      <w:pPr>
        <w:spacing w:after="0"/>
        <w:rPr>
          <w:sz w:val="24"/>
          <w:szCs w:val="24"/>
        </w:rPr>
      </w:pPr>
    </w:p>
    <w:p w:rsidR="00A679BB" w:rsidRPr="00A679BB" w:rsidRDefault="00A679BB" w:rsidP="00A679BB">
      <w:pPr>
        <w:spacing w:after="0"/>
        <w:rPr>
          <w:sz w:val="24"/>
          <w:szCs w:val="24"/>
        </w:rPr>
      </w:pPr>
      <w:r>
        <w:rPr>
          <w:b/>
          <w:sz w:val="24"/>
          <w:szCs w:val="24"/>
        </w:rPr>
        <w:t>Learning Ou</w:t>
      </w:r>
      <w:r w:rsidR="00E0329C">
        <w:rPr>
          <w:b/>
          <w:sz w:val="24"/>
          <w:szCs w:val="24"/>
        </w:rPr>
        <w:t>tcomes for HNRS 110</w:t>
      </w:r>
      <w:r>
        <w:rPr>
          <w:b/>
          <w:sz w:val="24"/>
          <w:szCs w:val="24"/>
        </w:rPr>
        <w:t>—</w:t>
      </w:r>
      <w:r w:rsidRPr="00A679BB">
        <w:t>these must go on the syllabus</w:t>
      </w:r>
      <w:r w:rsidR="00F324DD">
        <w:t>.  Instructors may add section-specific outcomes if desired.</w:t>
      </w:r>
    </w:p>
    <w:p w:rsidR="00A679BB" w:rsidRPr="00741D11" w:rsidRDefault="00A679BB" w:rsidP="00A679BB">
      <w:pPr>
        <w:numPr>
          <w:ilvl w:val="0"/>
          <w:numId w:val="5"/>
        </w:numPr>
        <w:contextualSpacing/>
      </w:pPr>
      <w:r w:rsidRPr="00741D11">
        <w:t>Students will be able to read, discuss, and write about college-level academic texts and ideas.</w:t>
      </w:r>
    </w:p>
    <w:p w:rsidR="00A679BB" w:rsidRPr="00741D11" w:rsidRDefault="00A679BB" w:rsidP="00A679BB">
      <w:pPr>
        <w:numPr>
          <w:ilvl w:val="0"/>
          <w:numId w:val="5"/>
        </w:numPr>
        <w:contextualSpacing/>
      </w:pPr>
      <w:r w:rsidRPr="00741D11">
        <w:t xml:space="preserve">Students will be able to use a process of drafting to write papers that have clear theses, cogent argumentation, proper use of evidence,  effective organization, and a minimum of sentence-level errors.  </w:t>
      </w:r>
    </w:p>
    <w:p w:rsidR="00E0329C" w:rsidRDefault="00A679BB" w:rsidP="00E0329C">
      <w:pPr>
        <w:numPr>
          <w:ilvl w:val="0"/>
          <w:numId w:val="5"/>
        </w:numPr>
        <w:contextualSpacing/>
      </w:pPr>
      <w:r w:rsidRPr="00741D11">
        <w:t>Students will be able to use library and other resources to find, evaluate, and synthesize information from multiple sources and use this information in support of a research question.</w:t>
      </w:r>
    </w:p>
    <w:p w:rsidR="00E0329C" w:rsidRPr="00462F21" w:rsidRDefault="00E0329C" w:rsidP="00E0329C">
      <w:pPr>
        <w:numPr>
          <w:ilvl w:val="0"/>
          <w:numId w:val="5"/>
        </w:numPr>
        <w:contextualSpacing/>
      </w:pPr>
      <w:r w:rsidRPr="00462F21">
        <w:t>Students will connect course content to their lives and to communities beyond the classroom.</w:t>
      </w:r>
    </w:p>
    <w:p w:rsidR="00AB6B7B" w:rsidRDefault="00AB6B7B" w:rsidP="00AB6B7B">
      <w:pPr>
        <w:spacing w:after="0"/>
        <w:rPr>
          <w:sz w:val="24"/>
          <w:szCs w:val="24"/>
        </w:rPr>
      </w:pPr>
    </w:p>
    <w:p w:rsidR="00CA7F5A" w:rsidRPr="0095381A" w:rsidRDefault="00CA7F5A" w:rsidP="00CA7F5A">
      <w:pPr>
        <w:spacing w:after="0"/>
        <w:rPr>
          <w:b/>
          <w:sz w:val="24"/>
          <w:szCs w:val="24"/>
        </w:rPr>
      </w:pPr>
      <w:r w:rsidRPr="0095381A">
        <w:rPr>
          <w:b/>
          <w:sz w:val="24"/>
          <w:szCs w:val="24"/>
        </w:rPr>
        <w:t>Does your course meet the Global Requirement?</w:t>
      </w:r>
    </w:p>
    <w:p w:rsidR="00CA7F5A" w:rsidRDefault="00CA7F5A" w:rsidP="00CA7F5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CA7F5A" w:rsidRDefault="00CA7F5A" w:rsidP="00CA7F5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CA7F5A" w:rsidRDefault="00CA7F5A" w:rsidP="00CA7F5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CA7F5A" w:rsidRDefault="00CA7F5A" w:rsidP="00CA7F5A">
      <w:pPr>
        <w:pStyle w:val="Body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CA7F5A" w:rsidRPr="00A06CA9" w:rsidRDefault="00CA7F5A" w:rsidP="00CA7F5A">
      <w:pPr>
        <w:pStyle w:val="BodyA"/>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CA7F5A" w:rsidRPr="00A06CA9" w:rsidRDefault="00CA7F5A" w:rsidP="00CA7F5A">
      <w:pPr>
        <w:pStyle w:val="ListParagraph"/>
        <w:numPr>
          <w:ilvl w:val="1"/>
          <w:numId w:val="7"/>
        </w:numPr>
        <w:spacing w:after="160" w:line="259" w:lineRule="auto"/>
      </w:pPr>
      <w:r w:rsidRPr="00A06CA9">
        <w:rPr>
          <w:rFonts w:ascii="Calibri" w:hAnsi="Calibri"/>
        </w:rPr>
        <w:lastRenderedPageBreak/>
        <w:t>Analyze selected issues or events in terms of global interconnections and interdependencies</w:t>
      </w:r>
    </w:p>
    <w:p w:rsidR="00CA7F5A" w:rsidRPr="00EC64C7" w:rsidRDefault="00CA7F5A" w:rsidP="00CA7F5A">
      <w:pPr>
        <w:pStyle w:val="ListParagraph"/>
        <w:numPr>
          <w:ilvl w:val="0"/>
          <w:numId w:val="7"/>
        </w:numPr>
        <w:spacing w:after="160" w:line="259" w:lineRule="auto"/>
      </w:pPr>
      <w:r>
        <w:rPr>
          <w:rFonts w:ascii="Calibri" w:hAnsi="Calibri"/>
        </w:rPr>
        <w:t>I</w:t>
      </w:r>
      <w:r w:rsidRPr="00A06CA9">
        <w:rPr>
          <w:rFonts w:ascii="Calibri" w:hAnsi="Calibri"/>
        </w:rPr>
        <w:t xml:space="preserve">nclude global content from at least one country outside the United States, and </w:t>
      </w:r>
    </w:p>
    <w:p w:rsidR="00CA7F5A" w:rsidRPr="002D71C1" w:rsidRDefault="00CA7F5A" w:rsidP="00CA7F5A">
      <w:pPr>
        <w:pStyle w:val="ListParagraph"/>
        <w:numPr>
          <w:ilvl w:val="0"/>
          <w:numId w:val="7"/>
        </w:numPr>
        <w:spacing w:after="160" w:line="259" w:lineRule="auto"/>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CA7F5A" w:rsidRPr="002D71C1" w:rsidRDefault="00CA7F5A" w:rsidP="00CA7F5A">
      <w:pPr>
        <w:pStyle w:val="ListParagraph"/>
      </w:pPr>
    </w:p>
    <w:p w:rsidR="00CA7F5A" w:rsidRPr="0072122C" w:rsidRDefault="00CA7F5A" w:rsidP="00CA7F5A">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72122C">
        <w:rPr>
          <w:rFonts w:ascii="Calibri" w:hAnsi="Calibri"/>
        </w:rPr>
        <w:t>hrs</w:t>
      </w:r>
      <w:proofErr w:type="spellEnd"/>
      <w:r w:rsidRPr="0072122C">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CA7F5A" w:rsidRPr="00E87122" w:rsidRDefault="00CA7F5A" w:rsidP="00AB6B7B">
      <w:pPr>
        <w:spacing w:after="0"/>
        <w:rPr>
          <w:sz w:val="24"/>
          <w:szCs w:val="24"/>
        </w:rPr>
      </w:pPr>
    </w:p>
    <w:p w:rsidR="0043139D" w:rsidRPr="0043139D" w:rsidRDefault="0043139D" w:rsidP="0043139D">
      <w:pPr>
        <w:spacing w:after="0"/>
        <w:rPr>
          <w:b/>
          <w:sz w:val="24"/>
          <w:szCs w:val="24"/>
        </w:rPr>
      </w:pPr>
      <w:r w:rsidRPr="0043139D">
        <w:rPr>
          <w:b/>
          <w:sz w:val="24"/>
          <w:szCs w:val="24"/>
        </w:rPr>
        <w:t>Assessment Requirements</w:t>
      </w:r>
    </w:p>
    <w:p w:rsidR="00E0329C" w:rsidRDefault="00E0329C" w:rsidP="00AB6B7B">
      <w:pPr>
        <w:spacing w:after="0"/>
      </w:pPr>
      <w:r>
        <w:t>TBA</w:t>
      </w:r>
    </w:p>
    <w:p w:rsidR="00E0329C" w:rsidRDefault="00E0329C" w:rsidP="00AB6B7B">
      <w:pPr>
        <w:spacing w:after="0"/>
      </w:pPr>
    </w:p>
    <w:p w:rsidR="00C85744" w:rsidRPr="004F58D4" w:rsidRDefault="00AB6B7B" w:rsidP="004F58D4">
      <w:pPr>
        <w:spacing w:after="0"/>
        <w:rPr>
          <w:b/>
          <w:sz w:val="24"/>
          <w:szCs w:val="24"/>
        </w:rPr>
      </w:pPr>
      <w:r>
        <w:rPr>
          <w:b/>
          <w:sz w:val="24"/>
          <w:szCs w:val="24"/>
        </w:rPr>
        <w:t>Additional Notes</w:t>
      </w:r>
      <w:r w:rsidR="004F58D4">
        <w:rPr>
          <w:b/>
          <w:sz w:val="24"/>
          <w:szCs w:val="24"/>
        </w:rPr>
        <w:t xml:space="preserve"> about the Course Proposal</w:t>
      </w:r>
      <w:r w:rsidR="00C85744">
        <w:rPr>
          <w:b/>
          <w:smallCaps/>
          <w:sz w:val="24"/>
          <w:szCs w:val="24"/>
        </w:rPr>
        <w:br/>
      </w:r>
      <w:r w:rsidR="004F58D4">
        <w:t xml:space="preserve">Instructors will be asked to describe how this course satisfies all the requirements, and </w:t>
      </w:r>
      <w:r w:rsidR="004F58D4" w:rsidRPr="00462F21">
        <w:t>especially how the course satisfies those requirements that distinguish between INQ and HNRS courses.</w:t>
      </w:r>
      <w:r w:rsidR="004F58D4">
        <w:t xml:space="preserve">  </w:t>
      </w:r>
      <w:r w:rsidR="00C85744" w:rsidRPr="00C32227">
        <w:t>How much detail of the course schedule and assignments does an instructor need to include in a course proposal?  En</w:t>
      </w:r>
      <w:r w:rsidR="00462F21">
        <w:t>ough to allow the members of GEC and HonPAG</w:t>
      </w:r>
      <w:r w:rsidR="00C85744" w:rsidRPr="00C32227">
        <w:t xml:space="preserve"> to see that the course is meeting the requirements.  The committees look at course schedules to see how much time is being spent on readings, how class time is being used, whether instruction in</w:t>
      </w:r>
      <w:r w:rsidR="00C85744">
        <w:t xml:space="preserve"> writing is included</w:t>
      </w:r>
      <w:r w:rsidR="00C85744" w:rsidRPr="00C32227">
        <w:t xml:space="preserve">, </w:t>
      </w:r>
      <w:r w:rsidR="00C85744">
        <w:t xml:space="preserve">and </w:t>
      </w:r>
      <w:r w:rsidR="00C85744" w:rsidRPr="00C32227">
        <w:t xml:space="preserve">if sufficient </w:t>
      </w:r>
      <w:r w:rsidR="00C85744">
        <w:t>time for drafting is allowed</w:t>
      </w:r>
      <w:r w:rsidR="00C85744" w:rsidRPr="00C32227">
        <w:t>. Details of assignments can be very helpful to the committee especially in appreciating the use of inquiry or how drafting is being used.  While few instructors will have fully detailed assignments sheets, providing some details of the assignment topic and focus helps the committees appreciate what the instructor is doing (with inquiry, methodologies, writing instruction, or other outcomes) and can help avoid a round of clarifying questions</w:t>
      </w:r>
    </w:p>
    <w:p w:rsidR="00C15F26" w:rsidRDefault="00C15F26"/>
    <w:sectPr w:rsidR="00C15F26" w:rsidSect="00C1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87FC1"/>
    <w:multiLevelType w:val="hybridMultilevel"/>
    <w:tmpl w:val="BF02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F2AC4"/>
    <w:multiLevelType w:val="hybridMultilevel"/>
    <w:tmpl w:val="C3203504"/>
    <w:lvl w:ilvl="0" w:tplc="16B46A7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85656"/>
    <w:multiLevelType w:val="hybridMultilevel"/>
    <w:tmpl w:val="29E8F2BE"/>
    <w:lvl w:ilvl="0" w:tplc="BA24A59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1ECE"/>
    <w:multiLevelType w:val="hybridMultilevel"/>
    <w:tmpl w:val="008C7BC2"/>
    <w:lvl w:ilvl="0" w:tplc="DE920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03743"/>
    <w:multiLevelType w:val="hybridMultilevel"/>
    <w:tmpl w:val="0524B2EE"/>
    <w:lvl w:ilvl="0" w:tplc="4724C7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7B"/>
    <w:rsid w:val="00194D41"/>
    <w:rsid w:val="0043139D"/>
    <w:rsid w:val="00462F21"/>
    <w:rsid w:val="004F58D4"/>
    <w:rsid w:val="005D5D57"/>
    <w:rsid w:val="005E04C2"/>
    <w:rsid w:val="006001CC"/>
    <w:rsid w:val="0061460F"/>
    <w:rsid w:val="00890C2A"/>
    <w:rsid w:val="00952E94"/>
    <w:rsid w:val="00A5663D"/>
    <w:rsid w:val="00A679BB"/>
    <w:rsid w:val="00AB6B7B"/>
    <w:rsid w:val="00C15F26"/>
    <w:rsid w:val="00C363B2"/>
    <w:rsid w:val="00C85744"/>
    <w:rsid w:val="00CA7F5A"/>
    <w:rsid w:val="00CC7C81"/>
    <w:rsid w:val="00D00073"/>
    <w:rsid w:val="00DF0F67"/>
    <w:rsid w:val="00E0329C"/>
    <w:rsid w:val="00E552A0"/>
    <w:rsid w:val="00E93DE8"/>
    <w:rsid w:val="00F324DD"/>
    <w:rsid w:val="00FB4F3D"/>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4822"/>
  <w15:docId w15:val="{D2E0924A-33BE-4724-AB76-991E568B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B7B"/>
    <w:pPr>
      <w:ind w:left="720"/>
      <w:contextualSpacing/>
    </w:pPr>
  </w:style>
  <w:style w:type="paragraph" w:styleId="BodyTextIndent3">
    <w:name w:val="Body Text Indent 3"/>
    <w:basedOn w:val="Normal"/>
    <w:link w:val="BodyTextIndent3Char"/>
    <w:rsid w:val="00AB6B7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B6B7B"/>
    <w:rPr>
      <w:rFonts w:ascii="Times New Roman" w:eastAsia="Times New Roman" w:hAnsi="Times New Roman" w:cs="Times New Roman"/>
      <w:sz w:val="16"/>
      <w:szCs w:val="16"/>
    </w:rPr>
  </w:style>
  <w:style w:type="paragraph" w:customStyle="1" w:styleId="BodyA">
    <w:name w:val="Body A"/>
    <w:rsid w:val="00CA7F5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Steehler, Gail</cp:lastModifiedBy>
  <cp:revision>3</cp:revision>
  <dcterms:created xsi:type="dcterms:W3CDTF">2016-07-28T19:18:00Z</dcterms:created>
  <dcterms:modified xsi:type="dcterms:W3CDTF">2016-07-28T19:20:00Z</dcterms:modified>
</cp:coreProperties>
</file>