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2AF8" w14:textId="77777777" w:rsidR="00A22643" w:rsidRPr="00EA1292" w:rsidRDefault="00A22643" w:rsidP="00E63F56">
      <w:pPr>
        <w:jc w:val="center"/>
        <w:rPr>
          <w:sz w:val="28"/>
          <w:szCs w:val="28"/>
        </w:rPr>
      </w:pPr>
      <w:r w:rsidRPr="00EA1292">
        <w:rPr>
          <w:sz w:val="28"/>
          <w:szCs w:val="28"/>
        </w:rPr>
        <w:t>How INQ Credits Work for Transfer Students</w:t>
      </w:r>
    </w:p>
    <w:p w14:paraId="2531585E" w14:textId="77777777" w:rsidR="00891893" w:rsidRDefault="00D242E9" w:rsidP="00A22643">
      <w:r>
        <w:t>When a student transfers from another college to Roanoke, the Registrar’s Office reviews the student’s transcripts to determine which courses can transfer in and the equivalency at Roanoke College.</w:t>
      </w:r>
      <w:r w:rsidR="006B28C5">
        <w:t xml:space="preserve">  </w:t>
      </w:r>
      <w:r w:rsidR="00891893">
        <w:t>T</w:t>
      </w:r>
      <w:r w:rsidR="000753A2">
        <w:t xml:space="preserve">he Registrar will evaluate </w:t>
      </w:r>
      <w:r w:rsidR="006B28C5">
        <w:t>transcripts from</w:t>
      </w:r>
      <w:r w:rsidR="00891893">
        <w:t xml:space="preserve"> previous college</w:t>
      </w:r>
      <w:r w:rsidR="006B28C5">
        <w:t>s, using these guidelines.</w:t>
      </w:r>
    </w:p>
    <w:p w14:paraId="7117D3C1" w14:textId="77777777" w:rsidR="006B28C5" w:rsidRDefault="006B28C5" w:rsidP="00891893">
      <w:pPr>
        <w:pStyle w:val="ListParagraph"/>
        <w:numPr>
          <w:ilvl w:val="0"/>
          <w:numId w:val="1"/>
        </w:numPr>
      </w:pPr>
      <w:r>
        <w:t>Only courses with a grade of C</w:t>
      </w:r>
      <w:r w:rsidR="00EA1292">
        <w:t>-</w:t>
      </w:r>
      <w:r>
        <w:t xml:space="preserve"> or higher are accepted for transfer.</w:t>
      </w:r>
    </w:p>
    <w:p w14:paraId="3A238980" w14:textId="77777777" w:rsidR="006B28C5" w:rsidRDefault="006B28C5" w:rsidP="00891893">
      <w:pPr>
        <w:pStyle w:val="ListParagraph"/>
        <w:numPr>
          <w:ilvl w:val="0"/>
          <w:numId w:val="1"/>
        </w:numPr>
      </w:pPr>
      <w:r>
        <w:t xml:space="preserve">Only courses with a general equivalent </w:t>
      </w:r>
      <w:r w:rsidR="00566794">
        <w:t xml:space="preserve">at RC </w:t>
      </w:r>
      <w:r>
        <w:t>are accepted.  For example, since we don’t have a culinary arts program, we don’t accept</w:t>
      </w:r>
      <w:r w:rsidR="00131932">
        <w:t xml:space="preserve"> courses from other colleges in that area.</w:t>
      </w:r>
    </w:p>
    <w:p w14:paraId="005ECD0B" w14:textId="2CC421CB" w:rsidR="00891893" w:rsidRDefault="00891893" w:rsidP="00891893">
      <w:pPr>
        <w:pStyle w:val="ListParagraph"/>
        <w:numPr>
          <w:ilvl w:val="0"/>
          <w:numId w:val="1"/>
        </w:numPr>
      </w:pPr>
      <w:r>
        <w:t>If t</w:t>
      </w:r>
      <w:r w:rsidR="00F64A12">
        <w:t>he course taken elsewhere has a direct</w:t>
      </w:r>
      <w:r>
        <w:t xml:space="preserve"> equivalent at RC, the RC course nu</w:t>
      </w:r>
      <w:r w:rsidR="00131932">
        <w:t>m</w:t>
      </w:r>
      <w:r w:rsidR="00EA1292">
        <w:t>ber and name will appear on the RC</w:t>
      </w:r>
      <w:r>
        <w:t xml:space="preserve"> transcript but with a grade of T*.</w:t>
      </w:r>
      <w:r w:rsidR="009553FC">
        <w:t xml:space="preserve">  For example, </w:t>
      </w:r>
      <w:r w:rsidR="00F64A12">
        <w:t xml:space="preserve">a first course in </w:t>
      </w:r>
      <w:r w:rsidR="009553FC">
        <w:t>General Chemist</w:t>
      </w:r>
      <w:r w:rsidR="00F64A12">
        <w:t xml:space="preserve">ry </w:t>
      </w:r>
      <w:r w:rsidR="009553FC">
        <w:t>will appear as “CHEM 111 General Chemistry I” with grade T*.</w:t>
      </w:r>
    </w:p>
    <w:p w14:paraId="4FECD4CB" w14:textId="77777777" w:rsidR="009553FC" w:rsidRDefault="009553FC" w:rsidP="00891893">
      <w:pPr>
        <w:pStyle w:val="ListParagraph"/>
        <w:numPr>
          <w:ilvl w:val="0"/>
          <w:numId w:val="1"/>
        </w:numPr>
      </w:pPr>
      <w:r>
        <w:t>If the course taken elsewhere has no direct RC equivalent, a general transfer notation will appear on the transcript.  For example, since we don’t teach Polymer Chemistry, a student transferring this credit in would see “CHEM-T Chemistry Transfer” with a grade of T*.</w:t>
      </w:r>
    </w:p>
    <w:p w14:paraId="4BAC599F" w14:textId="77777777" w:rsidR="009553FC" w:rsidRDefault="009553FC" w:rsidP="00891893">
      <w:pPr>
        <w:pStyle w:val="ListParagraph"/>
        <w:numPr>
          <w:ilvl w:val="0"/>
          <w:numId w:val="1"/>
        </w:numPr>
      </w:pPr>
      <w:r>
        <w:t xml:space="preserve">If the course being transferred is considered equivalent to a general education requirement, an additional code will accompany </w:t>
      </w:r>
      <w:r w:rsidR="00D05EE9">
        <w:t xml:space="preserve">the number and name </w:t>
      </w:r>
      <w:r w:rsidR="00AC7B4E">
        <w:t>on a Departmental Analysis</w:t>
      </w:r>
      <w:r w:rsidR="00755F3E">
        <w:t xml:space="preserve"> (available to advisors)</w:t>
      </w:r>
      <w:r w:rsidR="00AC7B4E">
        <w:t xml:space="preserve"> </w:t>
      </w:r>
      <w:r w:rsidR="00D05EE9">
        <w:t>to specify</w:t>
      </w:r>
      <w:r w:rsidR="00961996">
        <w:t xml:space="preserve"> the equivalency.  For example, for transfer students any lab science course will satisfy our lab science requirement.  If the student has a chemistry lab course</w:t>
      </w:r>
      <w:r w:rsidR="00885D85">
        <w:t xml:space="preserve"> focused on a global topic</w:t>
      </w:r>
      <w:r w:rsidR="00961996">
        <w:t>, this code will be</w:t>
      </w:r>
      <w:r w:rsidR="00885D85">
        <w:t xml:space="preserve"> “LCG” for Lab, Chemistry, Global</w:t>
      </w:r>
      <w:r w:rsidR="00961996">
        <w:t>.  A full lis</w:t>
      </w:r>
      <w:r w:rsidR="00D05EE9">
        <w:t>ting of the codes is attached</w:t>
      </w:r>
      <w:r w:rsidR="00FE4BC2">
        <w:t xml:space="preserve"> and is also at the top of the DA for each student.</w:t>
      </w:r>
      <w:r w:rsidR="00961996">
        <w:t xml:space="preserve">  Note that </w:t>
      </w:r>
      <w:r w:rsidR="00885D85">
        <w:t xml:space="preserve">when </w:t>
      </w:r>
      <w:r w:rsidR="00961996">
        <w:t xml:space="preserve">the </w:t>
      </w:r>
      <w:r w:rsidR="00C574AD">
        <w:t>third</w:t>
      </w:r>
      <w:r w:rsidR="00961996">
        <w:t xml:space="preserve"> letter </w:t>
      </w:r>
      <w:r w:rsidR="00885D85">
        <w:t>is G, the course satisfies the Global requirement</w:t>
      </w:r>
      <w:r w:rsidR="00961996">
        <w:t>.</w:t>
      </w:r>
    </w:p>
    <w:p w14:paraId="2DF703E0" w14:textId="778A6C1F" w:rsidR="00961996" w:rsidRDefault="00961996" w:rsidP="00961996">
      <w:r>
        <w:t>How does the substitution rule for 200-level INQ courses apply to transfer students</w:t>
      </w:r>
      <w:r w:rsidR="00676BE7">
        <w:t xml:space="preserve"> or students starting at Roanoke after transferring in </w:t>
      </w:r>
      <w:r w:rsidR="009B76A6">
        <w:t>dual enrollment, AP credits, or college courses from elsewhere</w:t>
      </w:r>
      <w:r>
        <w:t xml:space="preserve">?  </w:t>
      </w:r>
    </w:p>
    <w:p w14:paraId="0F4451EF" w14:textId="14EDEC9E" w:rsidR="00961996" w:rsidRDefault="00961996" w:rsidP="00961996">
      <w:pPr>
        <w:pStyle w:val="ListParagraph"/>
        <w:numPr>
          <w:ilvl w:val="0"/>
          <w:numId w:val="2"/>
        </w:numPr>
      </w:pPr>
      <w:r>
        <w:t>We do not limit how many transfer</w:t>
      </w:r>
      <w:r w:rsidR="000753A2">
        <w:t>red</w:t>
      </w:r>
      <w:r>
        <w:t xml:space="preserve"> courses </w:t>
      </w:r>
      <w:r w:rsidR="000753A2">
        <w:t xml:space="preserve">a transfer student </w:t>
      </w:r>
      <w:r>
        <w:t xml:space="preserve">can </w:t>
      </w:r>
      <w:r w:rsidR="00AC7B4E">
        <w:t>use</w:t>
      </w:r>
      <w:r>
        <w:t xml:space="preserve"> as equivalent to 200-level INQ requirements.  It is possible for a student to transfer in courses that satisfy all seven of the 2</w:t>
      </w:r>
      <w:r w:rsidR="00E63F56">
        <w:t>00-level INQ requirements as long as they meet the discipline requirements.</w:t>
      </w:r>
    </w:p>
    <w:p w14:paraId="069B1DB4" w14:textId="4CA4FD40" w:rsidR="00B02792" w:rsidRDefault="00B02792" w:rsidP="00961996">
      <w:pPr>
        <w:pStyle w:val="ListParagraph"/>
        <w:numPr>
          <w:ilvl w:val="0"/>
          <w:numId w:val="2"/>
        </w:numPr>
      </w:pPr>
      <w:r>
        <w:t xml:space="preserve">(For students that </w:t>
      </w:r>
      <w:r w:rsidR="00F36870">
        <w:t xml:space="preserve">started at Roanoke </w:t>
      </w:r>
      <w:r w:rsidR="00756509">
        <w:t xml:space="preserve">directly from high school </w:t>
      </w:r>
      <w:r w:rsidR="00F36870">
        <w:t>prior to the fall semester of 2023</w:t>
      </w:r>
      <w:r w:rsidR="00756509">
        <w:t>, the number of 200-level substitutions brought in via dual enrollment, AP credits, and college courses is limited to three.)</w:t>
      </w:r>
    </w:p>
    <w:p w14:paraId="4B07EC34" w14:textId="77777777" w:rsidR="00E63F56" w:rsidRDefault="00E63F56" w:rsidP="00961996">
      <w:pPr>
        <w:pStyle w:val="ListParagraph"/>
        <w:numPr>
          <w:ilvl w:val="0"/>
          <w:numId w:val="2"/>
        </w:numPr>
      </w:pPr>
      <w:r>
        <w:t xml:space="preserve">Once </w:t>
      </w:r>
      <w:r w:rsidR="000753A2">
        <w:t>a transfer</w:t>
      </w:r>
      <w:r>
        <w:t xml:space="preserve"> student ente</w:t>
      </w:r>
      <w:r w:rsidR="00224B87">
        <w:t>rs Roanoke College, we limit additional</w:t>
      </w:r>
      <w:r>
        <w:t xml:space="preserve"> substitutions.  </w:t>
      </w:r>
    </w:p>
    <w:p w14:paraId="062EDCBD" w14:textId="77777777" w:rsidR="00372CF0" w:rsidRDefault="00E63F56" w:rsidP="00372CF0">
      <w:pPr>
        <w:pStyle w:val="ListParagraph"/>
        <w:numPr>
          <w:ilvl w:val="1"/>
          <w:numId w:val="2"/>
        </w:numPr>
      </w:pPr>
      <w:r>
        <w:t>If the student has transferred in fewer than 3 courses that are equivalent to 200-level INQ courses, the student may combine transfers with RC substitute courses up a total of three.  For example, consider</w:t>
      </w:r>
      <w:r w:rsidR="00AC7B4E">
        <w:t xml:space="preserve"> Joe Student who transfers in 10</w:t>
      </w:r>
      <w:r>
        <w:t xml:space="preserve"> total units including 3 units of SPAN, </w:t>
      </w:r>
      <w:r w:rsidR="000123E0">
        <w:t>4</w:t>
      </w:r>
      <w:r w:rsidR="00AC7B4E">
        <w:t xml:space="preserve"> units in BUAD, as well as </w:t>
      </w:r>
      <w:r>
        <w:t>courses equivalent to INQ 110, 120, and General Chemistry I (equival</w:t>
      </w:r>
      <w:r w:rsidR="00FE4BC2">
        <w:t>ent to lab science</w:t>
      </w:r>
      <w:r>
        <w:t>).  Only one of these courses satisfies a 200-level INQ requirement, so the student still may use 2 more substitutions at Roanoke College.</w:t>
      </w:r>
      <w:r w:rsidR="00372CF0" w:rsidRPr="00372CF0">
        <w:t xml:space="preserve"> </w:t>
      </w:r>
    </w:p>
    <w:p w14:paraId="5AF5BAC4" w14:textId="35F53A66" w:rsidR="00E63F56" w:rsidRDefault="00372CF0" w:rsidP="00372CF0">
      <w:pPr>
        <w:pStyle w:val="ListParagraph"/>
        <w:numPr>
          <w:ilvl w:val="1"/>
          <w:numId w:val="2"/>
        </w:numPr>
      </w:pPr>
      <w:r>
        <w:t>If the student has transferred in 3 or more courses that are equivalent to 200-level INQ courses, the student has exhausted all substitutions and must complete any remaining requirements with INQ courses.</w:t>
      </w:r>
    </w:p>
    <w:p w14:paraId="1BCE1A86" w14:textId="512D9A7E" w:rsidR="0069359E" w:rsidRDefault="0069359E" w:rsidP="00372CF0">
      <w:pPr>
        <w:pStyle w:val="ListParagraph"/>
        <w:numPr>
          <w:ilvl w:val="1"/>
          <w:numId w:val="2"/>
        </w:numPr>
      </w:pPr>
      <w:r>
        <w:lastRenderedPageBreak/>
        <w:t xml:space="preserve">In both cases above, a student may decline to use a transferred course </w:t>
      </w:r>
      <w:r w:rsidR="0066318F">
        <w:t>to satisfy a 200-level requirement and instead take the corresponding INQ course; in this case, the student may use</w:t>
      </w:r>
      <w:r w:rsidR="00130DB4">
        <w:t xml:space="preserve"> a Roanoke College course to substitute for an INQ course they still need.</w:t>
      </w:r>
    </w:p>
    <w:p w14:paraId="200ACC51" w14:textId="5D8CB315" w:rsidR="00EA1292" w:rsidRDefault="00EA1292" w:rsidP="00EA1292">
      <w:pPr>
        <w:pStyle w:val="ListParagraph"/>
        <w:numPr>
          <w:ilvl w:val="0"/>
          <w:numId w:val="2"/>
        </w:numPr>
      </w:pPr>
      <w:r>
        <w:t>Transfer students should carefully track transfer courses equivalent to 200-level INQ courses using the INQ Checksheet to ensure that the G</w:t>
      </w:r>
      <w:r w:rsidR="00885D85">
        <w:t>lobal perspective is</w:t>
      </w:r>
      <w:r>
        <w:t xml:space="preserve"> satisfied.</w:t>
      </w:r>
    </w:p>
    <w:p w14:paraId="594D1478" w14:textId="200A1865" w:rsidR="00755F3E" w:rsidRDefault="00130DB4" w:rsidP="00D15266">
      <w:pPr>
        <w:pStyle w:val="ListParagraph"/>
        <w:numPr>
          <w:ilvl w:val="0"/>
          <w:numId w:val="2"/>
        </w:numPr>
      </w:pPr>
      <w:r>
        <w:t xml:space="preserve">Beginning in mid-spring, 2023, students should use the “Progress” tab in Self Service to track their progress for General Education; substitutions and INQ courses taken are automatically tracked </w:t>
      </w:r>
      <w:r w:rsidR="00D15266">
        <w:t>as students plan, enroll in, and complete courses.</w:t>
      </w:r>
    </w:p>
    <w:p w14:paraId="7D171FA6" w14:textId="77D76A0C" w:rsidR="002D0777" w:rsidRDefault="002D0777" w:rsidP="002D0777">
      <w:r>
        <w:t xml:space="preserve">The Registrar applies the general guidelines listed below in assigning </w:t>
      </w:r>
      <w:r w:rsidR="00AC7B4E">
        <w:t xml:space="preserve">General Education </w:t>
      </w:r>
      <w:r>
        <w:t>equivalencies.  Not all transfer credits fit the guidelines easily, so the Registrar will exer</w:t>
      </w:r>
      <w:r w:rsidR="009361B9">
        <w:t xml:space="preserve">cise </w:t>
      </w:r>
      <w:r w:rsidR="00D15266">
        <w:t>their</w:t>
      </w:r>
      <w:r w:rsidR="009361B9">
        <w:t xml:space="preserve"> best professional judg</w:t>
      </w:r>
      <w:r>
        <w:t>ment.</w:t>
      </w:r>
      <w:r w:rsidR="00EA1292">
        <w:t xml:space="preserve">  The Departmental Analysis supplied to advisors each semester includes Transfer Codes shown below.  </w:t>
      </w:r>
      <w:r w:rsidR="00885D85">
        <w:t>Note that a</w:t>
      </w:r>
      <w:r w:rsidR="00EA1292">
        <w:t xml:space="preserve"> final </w:t>
      </w:r>
      <w:r w:rsidR="00885D85">
        <w:t xml:space="preserve">“G” </w:t>
      </w:r>
      <w:r w:rsidR="00EA1292">
        <w:t xml:space="preserve">letter, shown as # in some codes below, indicates </w:t>
      </w:r>
      <w:r w:rsidR="00885D85">
        <w:t>a course that satisfies the Global requirement.</w:t>
      </w:r>
      <w:r w:rsidR="00485C8F">
        <w:t xml:space="preserve">  In all cases, please feel free to consult with the Director of General Education for unclear circumstances.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818"/>
        <w:gridCol w:w="2520"/>
        <w:gridCol w:w="5238"/>
      </w:tblGrid>
      <w:tr w:rsidR="00101C7E" w14:paraId="6D3AD8B5" w14:textId="77777777" w:rsidTr="00FE4BC2">
        <w:tc>
          <w:tcPr>
            <w:tcW w:w="1818" w:type="dxa"/>
          </w:tcPr>
          <w:p w14:paraId="7B261E42" w14:textId="77777777" w:rsidR="00101C7E" w:rsidRPr="00421639" w:rsidRDefault="00101C7E" w:rsidP="002D0777">
            <w:pPr>
              <w:rPr>
                <w:b/>
              </w:rPr>
            </w:pPr>
            <w:r w:rsidRPr="00421639">
              <w:rPr>
                <w:b/>
              </w:rPr>
              <w:t>RC Requirement</w:t>
            </w:r>
          </w:p>
        </w:tc>
        <w:tc>
          <w:tcPr>
            <w:tcW w:w="2520" w:type="dxa"/>
          </w:tcPr>
          <w:p w14:paraId="0063CD08" w14:textId="77777777" w:rsidR="00101C7E" w:rsidRPr="00421639" w:rsidRDefault="00101C7E" w:rsidP="002D0777">
            <w:pPr>
              <w:rPr>
                <w:b/>
              </w:rPr>
            </w:pPr>
            <w:r>
              <w:rPr>
                <w:b/>
              </w:rPr>
              <w:t>Transfer Code</w:t>
            </w:r>
          </w:p>
        </w:tc>
        <w:tc>
          <w:tcPr>
            <w:tcW w:w="5238" w:type="dxa"/>
          </w:tcPr>
          <w:p w14:paraId="0FBD538C" w14:textId="77777777" w:rsidR="00101C7E" w:rsidRPr="00421639" w:rsidRDefault="00101C7E" w:rsidP="002D0777">
            <w:pPr>
              <w:rPr>
                <w:b/>
              </w:rPr>
            </w:pPr>
            <w:r w:rsidRPr="00421639">
              <w:rPr>
                <w:b/>
              </w:rPr>
              <w:t>Accepted Transfer Equivalency</w:t>
            </w:r>
          </w:p>
        </w:tc>
      </w:tr>
      <w:tr w:rsidR="00101C7E" w14:paraId="7D329CDD" w14:textId="77777777" w:rsidTr="00FE4BC2">
        <w:tc>
          <w:tcPr>
            <w:tcW w:w="1818" w:type="dxa"/>
          </w:tcPr>
          <w:p w14:paraId="05987E77" w14:textId="77777777" w:rsidR="00101C7E" w:rsidRDefault="00101C7E" w:rsidP="002D0777">
            <w:r>
              <w:t>INQ 110</w:t>
            </w:r>
          </w:p>
        </w:tc>
        <w:tc>
          <w:tcPr>
            <w:tcW w:w="2520" w:type="dxa"/>
          </w:tcPr>
          <w:p w14:paraId="463857B3" w14:textId="77777777" w:rsidR="00101C7E" w:rsidRDefault="00101C7E" w:rsidP="002D0777">
            <w:r>
              <w:t>FS1</w:t>
            </w:r>
          </w:p>
        </w:tc>
        <w:tc>
          <w:tcPr>
            <w:tcW w:w="5238" w:type="dxa"/>
          </w:tcPr>
          <w:p w14:paraId="7A8937E7" w14:textId="77777777" w:rsidR="00101C7E" w:rsidRDefault="00101C7E" w:rsidP="002D0777">
            <w:r>
              <w:t>composition course</w:t>
            </w:r>
          </w:p>
        </w:tc>
      </w:tr>
      <w:tr w:rsidR="00101C7E" w14:paraId="0A9B948E" w14:textId="77777777" w:rsidTr="00FE4BC2">
        <w:tc>
          <w:tcPr>
            <w:tcW w:w="1818" w:type="dxa"/>
          </w:tcPr>
          <w:p w14:paraId="19B8C58B" w14:textId="77777777" w:rsidR="00101C7E" w:rsidRDefault="00101C7E" w:rsidP="002D0777">
            <w:r>
              <w:t>INQ 120</w:t>
            </w:r>
          </w:p>
        </w:tc>
        <w:tc>
          <w:tcPr>
            <w:tcW w:w="2520" w:type="dxa"/>
          </w:tcPr>
          <w:p w14:paraId="607F37B1" w14:textId="77777777" w:rsidR="00101C7E" w:rsidRDefault="00101C7E" w:rsidP="002D0777">
            <w:r>
              <w:t>FS2</w:t>
            </w:r>
          </w:p>
        </w:tc>
        <w:tc>
          <w:tcPr>
            <w:tcW w:w="5238" w:type="dxa"/>
          </w:tcPr>
          <w:p w14:paraId="0B88651C" w14:textId="77777777" w:rsidR="00101C7E" w:rsidRDefault="00101C7E" w:rsidP="002D0777">
            <w:r>
              <w:t>course in ethics or philosophy</w:t>
            </w:r>
          </w:p>
        </w:tc>
      </w:tr>
      <w:tr w:rsidR="00101C7E" w14:paraId="611F87E3" w14:textId="77777777" w:rsidTr="00FE4BC2">
        <w:tc>
          <w:tcPr>
            <w:tcW w:w="1818" w:type="dxa"/>
          </w:tcPr>
          <w:p w14:paraId="0D9EB39A" w14:textId="77777777" w:rsidR="00101C7E" w:rsidRDefault="00101C7E" w:rsidP="002D0777">
            <w:r>
              <w:t>INQ 240</w:t>
            </w:r>
          </w:p>
        </w:tc>
        <w:tc>
          <w:tcPr>
            <w:tcW w:w="2520" w:type="dxa"/>
          </w:tcPr>
          <w:p w14:paraId="1C5CCE46" w14:textId="77777777" w:rsidR="00101C7E" w:rsidRDefault="00101C7E" w:rsidP="002D0777">
            <w:r>
              <w:t>MA#</w:t>
            </w:r>
          </w:p>
        </w:tc>
        <w:tc>
          <w:tcPr>
            <w:tcW w:w="5238" w:type="dxa"/>
          </w:tcPr>
          <w:p w14:paraId="2F62172B" w14:textId="77777777" w:rsidR="00101C7E" w:rsidRDefault="00101C7E" w:rsidP="002D0777">
            <w:r>
              <w:t>statistics course</w:t>
            </w:r>
          </w:p>
        </w:tc>
      </w:tr>
      <w:tr w:rsidR="00101C7E" w14:paraId="308D707C" w14:textId="77777777" w:rsidTr="00FE4BC2">
        <w:tc>
          <w:tcPr>
            <w:tcW w:w="1818" w:type="dxa"/>
          </w:tcPr>
          <w:p w14:paraId="11AD034F" w14:textId="77777777" w:rsidR="00101C7E" w:rsidRDefault="00101C7E" w:rsidP="002D0777">
            <w:r>
              <w:t>INQ 241</w:t>
            </w:r>
          </w:p>
        </w:tc>
        <w:tc>
          <w:tcPr>
            <w:tcW w:w="2520" w:type="dxa"/>
          </w:tcPr>
          <w:p w14:paraId="35649A22" w14:textId="77777777" w:rsidR="00101C7E" w:rsidRDefault="00101C7E" w:rsidP="002D0777">
            <w:r>
              <w:t>MA#</w:t>
            </w:r>
          </w:p>
        </w:tc>
        <w:tc>
          <w:tcPr>
            <w:tcW w:w="5238" w:type="dxa"/>
          </w:tcPr>
          <w:p w14:paraId="6F79D92C" w14:textId="77777777" w:rsidR="00101C7E" w:rsidRDefault="00101C7E" w:rsidP="002D0777">
            <w:r>
              <w:t>course in math or computer science</w:t>
            </w:r>
          </w:p>
        </w:tc>
      </w:tr>
      <w:tr w:rsidR="00101C7E" w14:paraId="0FAA1754" w14:textId="77777777" w:rsidTr="00FE4BC2">
        <w:tc>
          <w:tcPr>
            <w:tcW w:w="1818" w:type="dxa"/>
          </w:tcPr>
          <w:p w14:paraId="3D21167F" w14:textId="77777777" w:rsidR="00101C7E" w:rsidRDefault="00101C7E" w:rsidP="002D0777">
            <w:r>
              <w:t>INQ 250</w:t>
            </w:r>
          </w:p>
        </w:tc>
        <w:tc>
          <w:tcPr>
            <w:tcW w:w="2520" w:type="dxa"/>
          </w:tcPr>
          <w:p w14:paraId="3968CA9F" w14:textId="77777777" w:rsidR="00101C7E" w:rsidRDefault="00101C7E" w:rsidP="002D0777">
            <w:r>
              <w:t>LB#, LC#, LP#, LL#</w:t>
            </w:r>
          </w:p>
        </w:tc>
        <w:tc>
          <w:tcPr>
            <w:tcW w:w="5238" w:type="dxa"/>
          </w:tcPr>
          <w:p w14:paraId="0432105B" w14:textId="77777777" w:rsidR="00101C7E" w:rsidRDefault="001E2560" w:rsidP="002D0777">
            <w:r>
              <w:t>natural</w:t>
            </w:r>
            <w:r w:rsidR="00101C7E">
              <w:t xml:space="preserve"> science course</w:t>
            </w:r>
            <w:r>
              <w:t xml:space="preserve"> with laboratory</w:t>
            </w:r>
          </w:p>
        </w:tc>
      </w:tr>
      <w:tr w:rsidR="00101C7E" w14:paraId="0BD41BA5" w14:textId="77777777" w:rsidTr="00FE4BC2">
        <w:tc>
          <w:tcPr>
            <w:tcW w:w="1818" w:type="dxa"/>
          </w:tcPr>
          <w:p w14:paraId="0B4DA1B3" w14:textId="77777777" w:rsidR="00101C7E" w:rsidRDefault="00101C7E" w:rsidP="002D0777">
            <w:r>
              <w:t>INQ 251</w:t>
            </w:r>
          </w:p>
        </w:tc>
        <w:tc>
          <w:tcPr>
            <w:tcW w:w="2520" w:type="dxa"/>
          </w:tcPr>
          <w:p w14:paraId="3C40FBA3" w14:textId="77777777" w:rsidR="00101C7E" w:rsidRDefault="00FE4BC2" w:rsidP="002D0777">
            <w:r>
              <w:t>NL#, LB#, LC#, LP#, LL#</w:t>
            </w:r>
          </w:p>
        </w:tc>
        <w:tc>
          <w:tcPr>
            <w:tcW w:w="5238" w:type="dxa"/>
          </w:tcPr>
          <w:p w14:paraId="24026B1E" w14:textId="77777777" w:rsidR="00101C7E" w:rsidRDefault="00101C7E" w:rsidP="002D0777">
            <w:r>
              <w:t>natural science course, with or without lab</w:t>
            </w:r>
            <w:r w:rsidR="001E2560">
              <w:t>oratory</w:t>
            </w:r>
          </w:p>
        </w:tc>
      </w:tr>
      <w:tr w:rsidR="00101C7E" w14:paraId="03875FA1" w14:textId="77777777" w:rsidTr="00FE4BC2">
        <w:tc>
          <w:tcPr>
            <w:tcW w:w="1818" w:type="dxa"/>
          </w:tcPr>
          <w:p w14:paraId="63352FD4" w14:textId="77777777" w:rsidR="00101C7E" w:rsidRDefault="00101C7E" w:rsidP="002D0777">
            <w:r>
              <w:t>INQ 260</w:t>
            </w:r>
          </w:p>
        </w:tc>
        <w:tc>
          <w:tcPr>
            <w:tcW w:w="2520" w:type="dxa"/>
          </w:tcPr>
          <w:p w14:paraId="0A78BC46" w14:textId="77777777" w:rsidR="00101C7E" w:rsidRDefault="00101C7E" w:rsidP="002D0777">
            <w:r>
              <w:t>SE#, SP#, SS#, SG#, SO#</w:t>
            </w:r>
          </w:p>
        </w:tc>
        <w:tc>
          <w:tcPr>
            <w:tcW w:w="5238" w:type="dxa"/>
          </w:tcPr>
          <w:p w14:paraId="54DB7E41" w14:textId="77777777" w:rsidR="00101C7E" w:rsidRDefault="00101C7E" w:rsidP="002D0777">
            <w:r>
              <w:t>social science course (psychology, sociology, anthropology, economics, political science); need two units from different disciplines</w:t>
            </w:r>
          </w:p>
        </w:tc>
      </w:tr>
      <w:tr w:rsidR="00101C7E" w14:paraId="012F6BD9" w14:textId="77777777" w:rsidTr="00FE4BC2">
        <w:tc>
          <w:tcPr>
            <w:tcW w:w="1818" w:type="dxa"/>
          </w:tcPr>
          <w:p w14:paraId="7B6C590F" w14:textId="77777777" w:rsidR="00101C7E" w:rsidRDefault="00101C7E" w:rsidP="002D0777">
            <w:r>
              <w:t>INQ 270</w:t>
            </w:r>
          </w:p>
        </w:tc>
        <w:tc>
          <w:tcPr>
            <w:tcW w:w="2520" w:type="dxa"/>
          </w:tcPr>
          <w:p w14:paraId="06A18FC9" w14:textId="77777777" w:rsidR="00101C7E" w:rsidRDefault="00101C7E" w:rsidP="002D0777">
            <w:r>
              <w:t>H1#</w:t>
            </w:r>
          </w:p>
        </w:tc>
        <w:tc>
          <w:tcPr>
            <w:tcW w:w="5238" w:type="dxa"/>
          </w:tcPr>
          <w:p w14:paraId="7F15C4E4" w14:textId="77777777" w:rsidR="00101C7E" w:rsidRDefault="00101C7E" w:rsidP="002D0777">
            <w:r>
              <w:t>humanities course on a topic pre-1500 (art history, music appreciation, literature, culture, history, humanities, religion, philosophy)</w:t>
            </w:r>
          </w:p>
        </w:tc>
      </w:tr>
      <w:tr w:rsidR="00101C7E" w14:paraId="41FED4FE" w14:textId="77777777" w:rsidTr="00FE4BC2">
        <w:tc>
          <w:tcPr>
            <w:tcW w:w="1818" w:type="dxa"/>
          </w:tcPr>
          <w:p w14:paraId="1349119E" w14:textId="77777777" w:rsidR="00101C7E" w:rsidRDefault="00101C7E" w:rsidP="002D0777">
            <w:r>
              <w:t>INQ 271</w:t>
            </w:r>
          </w:p>
        </w:tc>
        <w:tc>
          <w:tcPr>
            <w:tcW w:w="2520" w:type="dxa"/>
          </w:tcPr>
          <w:p w14:paraId="75358D33" w14:textId="77777777" w:rsidR="00101C7E" w:rsidRDefault="00101C7E" w:rsidP="002D0777">
            <w:r>
              <w:t>H2#</w:t>
            </w:r>
          </w:p>
        </w:tc>
        <w:tc>
          <w:tcPr>
            <w:tcW w:w="5238" w:type="dxa"/>
          </w:tcPr>
          <w:p w14:paraId="2276C8B7" w14:textId="77777777" w:rsidR="00101C7E" w:rsidRDefault="00101C7E" w:rsidP="002D0777">
            <w:r>
              <w:t>humanities course on a topic post-1500 (art history, music appreciation, literature, culture, history, humanities, religion, philosophy)</w:t>
            </w:r>
          </w:p>
        </w:tc>
      </w:tr>
      <w:tr w:rsidR="00101C7E" w14:paraId="763B82EB" w14:textId="77777777" w:rsidTr="00FE4BC2">
        <w:tc>
          <w:tcPr>
            <w:tcW w:w="1818" w:type="dxa"/>
          </w:tcPr>
          <w:p w14:paraId="683DFD2C" w14:textId="77777777" w:rsidR="00101C7E" w:rsidRDefault="00101C7E" w:rsidP="002D0777">
            <w:r>
              <w:t>INQ 300</w:t>
            </w:r>
          </w:p>
        </w:tc>
        <w:tc>
          <w:tcPr>
            <w:tcW w:w="2520" w:type="dxa"/>
          </w:tcPr>
          <w:p w14:paraId="2D266637" w14:textId="77777777" w:rsidR="00101C7E" w:rsidRDefault="00101C7E" w:rsidP="002D0777">
            <w:r>
              <w:t>no equivalency</w:t>
            </w:r>
          </w:p>
        </w:tc>
        <w:tc>
          <w:tcPr>
            <w:tcW w:w="5238" w:type="dxa"/>
          </w:tcPr>
          <w:p w14:paraId="352C0EAB" w14:textId="77777777" w:rsidR="00101C7E" w:rsidRDefault="00101C7E" w:rsidP="002D0777">
            <w:r>
              <w:t>no equivalency</w:t>
            </w:r>
          </w:p>
        </w:tc>
      </w:tr>
      <w:tr w:rsidR="00101C7E" w14:paraId="264E6E55" w14:textId="77777777" w:rsidTr="00FE4BC2">
        <w:tc>
          <w:tcPr>
            <w:tcW w:w="1818" w:type="dxa"/>
          </w:tcPr>
          <w:p w14:paraId="641A788A" w14:textId="77777777" w:rsidR="00101C7E" w:rsidRDefault="00101C7E" w:rsidP="002D0777">
            <w:r>
              <w:t>IL</w:t>
            </w:r>
          </w:p>
        </w:tc>
        <w:tc>
          <w:tcPr>
            <w:tcW w:w="2520" w:type="dxa"/>
          </w:tcPr>
          <w:p w14:paraId="668F3A0B" w14:textId="77777777" w:rsidR="00101C7E" w:rsidRDefault="00101C7E" w:rsidP="002D0777">
            <w:r>
              <w:t>no equivalency</w:t>
            </w:r>
          </w:p>
        </w:tc>
        <w:tc>
          <w:tcPr>
            <w:tcW w:w="5238" w:type="dxa"/>
          </w:tcPr>
          <w:p w14:paraId="1FB2B820" w14:textId="77777777" w:rsidR="00101C7E" w:rsidRDefault="00101C7E" w:rsidP="002D0777">
            <w:r>
              <w:t>no equivalency</w:t>
            </w:r>
          </w:p>
        </w:tc>
      </w:tr>
      <w:tr w:rsidR="00101C7E" w14:paraId="5259AD50" w14:textId="77777777" w:rsidTr="00FE4BC2">
        <w:tc>
          <w:tcPr>
            <w:tcW w:w="1818" w:type="dxa"/>
          </w:tcPr>
          <w:p w14:paraId="29EB6A07" w14:textId="77777777" w:rsidR="00101C7E" w:rsidRDefault="00101C7E" w:rsidP="002D0777">
            <w:r>
              <w:t>Global Perspective</w:t>
            </w:r>
          </w:p>
        </w:tc>
        <w:tc>
          <w:tcPr>
            <w:tcW w:w="2520" w:type="dxa"/>
          </w:tcPr>
          <w:p w14:paraId="474F5C65" w14:textId="77777777" w:rsidR="00101C7E" w:rsidRDefault="00101C7E" w:rsidP="002D0777">
            <w:r>
              <w:t>Final letter of G, such as H1G or SEG</w:t>
            </w:r>
          </w:p>
        </w:tc>
        <w:tc>
          <w:tcPr>
            <w:tcW w:w="5238" w:type="dxa"/>
          </w:tcPr>
          <w:p w14:paraId="4A985DF7" w14:textId="77777777" w:rsidR="00101C7E" w:rsidRDefault="00101C7E" w:rsidP="002D0777">
            <w:r>
              <w:t>any course satisfying INQ 260, 270, or 271 with a focus on Africa, Asia, South America, the  Third World, or global topics in any area</w:t>
            </w:r>
          </w:p>
        </w:tc>
      </w:tr>
      <w:tr w:rsidR="00101C7E" w14:paraId="0D55C11B" w14:textId="77777777" w:rsidTr="00FE4BC2">
        <w:tc>
          <w:tcPr>
            <w:tcW w:w="1818" w:type="dxa"/>
          </w:tcPr>
          <w:p w14:paraId="555AB512" w14:textId="77777777" w:rsidR="00101C7E" w:rsidRDefault="00101C7E" w:rsidP="002D0777">
            <w:r>
              <w:t>Foreign Language</w:t>
            </w:r>
          </w:p>
        </w:tc>
        <w:tc>
          <w:tcPr>
            <w:tcW w:w="2520" w:type="dxa"/>
          </w:tcPr>
          <w:p w14:paraId="13E159AB" w14:textId="77777777" w:rsidR="00101C7E" w:rsidRDefault="00101C7E" w:rsidP="002D0777">
            <w:r>
              <w:t>F1, F2, and F3</w:t>
            </w:r>
          </w:p>
        </w:tc>
        <w:tc>
          <w:tcPr>
            <w:tcW w:w="5238" w:type="dxa"/>
          </w:tcPr>
          <w:p w14:paraId="4739BEB3" w14:textId="77777777" w:rsidR="00101C7E" w:rsidRDefault="00101C7E" w:rsidP="002D0777">
            <w:r>
              <w:t>foreign language through 201 (first intermediate level)</w:t>
            </w:r>
          </w:p>
        </w:tc>
      </w:tr>
      <w:tr w:rsidR="00101C7E" w14:paraId="0462800E" w14:textId="77777777" w:rsidTr="00FE4BC2">
        <w:tc>
          <w:tcPr>
            <w:tcW w:w="1818" w:type="dxa"/>
          </w:tcPr>
          <w:p w14:paraId="2DDDE7C0" w14:textId="77777777" w:rsidR="00101C7E" w:rsidRDefault="00101C7E" w:rsidP="002D0777">
            <w:r>
              <w:t>HHP</w:t>
            </w:r>
          </w:p>
        </w:tc>
        <w:tc>
          <w:tcPr>
            <w:tcW w:w="2520" w:type="dxa"/>
          </w:tcPr>
          <w:p w14:paraId="35107A68" w14:textId="77777777" w:rsidR="00101C7E" w:rsidRDefault="00101C7E" w:rsidP="002D0777">
            <w:r>
              <w:t>PE</w:t>
            </w:r>
          </w:p>
        </w:tc>
        <w:tc>
          <w:tcPr>
            <w:tcW w:w="5238" w:type="dxa"/>
          </w:tcPr>
          <w:p w14:paraId="5434B076" w14:textId="77777777" w:rsidR="00101C7E" w:rsidRDefault="00101C7E" w:rsidP="002D0777">
            <w:r>
              <w:t>one activity course subs for an RC activity course; a second activity course subs for HHP 160</w:t>
            </w:r>
          </w:p>
        </w:tc>
      </w:tr>
    </w:tbl>
    <w:p w14:paraId="51D73CC0" w14:textId="77777777" w:rsidR="002D0777" w:rsidRDefault="002D0777" w:rsidP="002D0777"/>
    <w:p w14:paraId="49427D46" w14:textId="77777777" w:rsidR="009361B9" w:rsidRPr="00891893" w:rsidRDefault="009361B9" w:rsidP="002D0777"/>
    <w:sectPr w:rsidR="009361B9" w:rsidRPr="00891893" w:rsidSect="00AC7B4E">
      <w:head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B883C" w14:textId="77777777" w:rsidR="00DC3ACA" w:rsidRDefault="00DC3ACA" w:rsidP="006E21AF">
      <w:pPr>
        <w:spacing w:after="0" w:line="240" w:lineRule="auto"/>
      </w:pPr>
      <w:r>
        <w:separator/>
      </w:r>
    </w:p>
  </w:endnote>
  <w:endnote w:type="continuationSeparator" w:id="0">
    <w:p w14:paraId="43E960FF" w14:textId="77777777" w:rsidR="00DC3ACA" w:rsidRDefault="00DC3ACA" w:rsidP="006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45837" w14:textId="77777777" w:rsidR="00DC3ACA" w:rsidRDefault="00DC3ACA" w:rsidP="006E21AF">
      <w:pPr>
        <w:spacing w:after="0" w:line="240" w:lineRule="auto"/>
      </w:pPr>
      <w:r>
        <w:separator/>
      </w:r>
    </w:p>
  </w:footnote>
  <w:footnote w:type="continuationSeparator" w:id="0">
    <w:p w14:paraId="677E9BAF" w14:textId="77777777" w:rsidR="00DC3ACA" w:rsidRDefault="00DC3ACA" w:rsidP="006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4FCC3" w14:textId="2DEB532E" w:rsidR="006E21AF" w:rsidRDefault="006E21AF" w:rsidP="006E21AF">
    <w:pPr>
      <w:pStyle w:val="Header"/>
      <w:jc w:val="right"/>
    </w:pPr>
    <w:r>
      <w:t>Updated 1/25/2023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53A"/>
    <w:multiLevelType w:val="hybridMultilevel"/>
    <w:tmpl w:val="79EC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96E49"/>
    <w:multiLevelType w:val="hybridMultilevel"/>
    <w:tmpl w:val="65ACD7C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3FB7150F"/>
    <w:multiLevelType w:val="hybridMultilevel"/>
    <w:tmpl w:val="049E9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373093">
    <w:abstractNumId w:val="1"/>
  </w:num>
  <w:num w:numId="2" w16cid:durableId="2034727007">
    <w:abstractNumId w:val="2"/>
  </w:num>
  <w:num w:numId="3" w16cid:durableId="44469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43"/>
    <w:rsid w:val="000123E0"/>
    <w:rsid w:val="000753A2"/>
    <w:rsid w:val="00101C7E"/>
    <w:rsid w:val="00130DB4"/>
    <w:rsid w:val="00131932"/>
    <w:rsid w:val="001E2560"/>
    <w:rsid w:val="00224B87"/>
    <w:rsid w:val="002D0777"/>
    <w:rsid w:val="00372CF0"/>
    <w:rsid w:val="003D2C04"/>
    <w:rsid w:val="00485C8F"/>
    <w:rsid w:val="00566794"/>
    <w:rsid w:val="005F2CF0"/>
    <w:rsid w:val="0066318F"/>
    <w:rsid w:val="00676BE7"/>
    <w:rsid w:val="0069359E"/>
    <w:rsid w:val="006B28C5"/>
    <w:rsid w:val="006E21AF"/>
    <w:rsid w:val="007338A0"/>
    <w:rsid w:val="00755F3E"/>
    <w:rsid w:val="00756509"/>
    <w:rsid w:val="007C7AF9"/>
    <w:rsid w:val="00885D85"/>
    <w:rsid w:val="00891893"/>
    <w:rsid w:val="009361B9"/>
    <w:rsid w:val="009553FC"/>
    <w:rsid w:val="00961996"/>
    <w:rsid w:val="009B76A6"/>
    <w:rsid w:val="00A22643"/>
    <w:rsid w:val="00AC7B4E"/>
    <w:rsid w:val="00B02792"/>
    <w:rsid w:val="00C574AD"/>
    <w:rsid w:val="00C62658"/>
    <w:rsid w:val="00C7379C"/>
    <w:rsid w:val="00D05EE9"/>
    <w:rsid w:val="00D15266"/>
    <w:rsid w:val="00D242E9"/>
    <w:rsid w:val="00DC3ACA"/>
    <w:rsid w:val="00E63F56"/>
    <w:rsid w:val="00EA1292"/>
    <w:rsid w:val="00F36870"/>
    <w:rsid w:val="00F64A12"/>
    <w:rsid w:val="00FC46C1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1FA1"/>
  <w15:docId w15:val="{576ED303-295B-480F-908D-D8D21238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893"/>
    <w:pPr>
      <w:ind w:left="720"/>
      <w:contextualSpacing/>
    </w:pPr>
  </w:style>
  <w:style w:type="table" w:styleId="TableGrid">
    <w:name w:val="Table Grid"/>
    <w:basedOn w:val="TableNormal"/>
    <w:uiPriority w:val="59"/>
    <w:rsid w:val="002D0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2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3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1AF"/>
  </w:style>
  <w:style w:type="paragraph" w:styleId="Footer">
    <w:name w:val="footer"/>
    <w:basedOn w:val="Normal"/>
    <w:link w:val="FooterChar"/>
    <w:uiPriority w:val="99"/>
    <w:unhideWhenUsed/>
    <w:rsid w:val="006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Gail Steehler</dc:creator>
  <cp:lastModifiedBy>Taylor, David</cp:lastModifiedBy>
  <cp:revision>14</cp:revision>
  <cp:lastPrinted>2015-07-07T17:01:00Z</cp:lastPrinted>
  <dcterms:created xsi:type="dcterms:W3CDTF">2023-01-26T01:27:00Z</dcterms:created>
  <dcterms:modified xsi:type="dcterms:W3CDTF">2023-01-26T14:32:00Z</dcterms:modified>
</cp:coreProperties>
</file>