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00" w:after="40"/>
      </w:pPr>
      <w:r>
        <w:rPr>
          <w:rFonts w:ascii="Calibri" w:hAnsi="Calibri"/>
          <w:b/>
          <w:i w:val="0"/>
          <w:color w:val="111111"/>
          <w:sz w:val="20"/>
        </w:rPr>
        <w:t>ADMISSIONS GUIDE</w:t>
      </w:r>
    </w:p>
    <w:p>
      <w:pPr>
        <w:spacing w:after="100"/>
      </w:pPr>
      <w:r>
        <w:rPr>
          <w:rFonts w:ascii="Calibri" w:hAnsi="Calibri"/>
          <w:b/>
          <w:i w:val="0"/>
          <w:color w:val="111111"/>
          <w:sz w:val="50"/>
        </w:rPr>
        <w:t>Explore@RC Application and Lottery Process</w:t>
      </w:r>
    </w:p>
    <w:p>
      <w:pPr>
        <w:spacing w:after="280"/>
      </w:pPr>
      <w:r>
        <w:rPr>
          <w:rFonts w:ascii="Calibri" w:hAnsi="Calibri"/>
          <w:b w:val="0"/>
          <w:i w:val="0"/>
          <w:color w:val="666666"/>
          <w:sz w:val="25"/>
        </w:rPr>
        <w:t>A clear guide to application dates, eligibility review, random selection, and the waiting list</w:t>
      </w:r>
    </w:p>
    <w:p>
      <w:pPr>
        <w:shd w:fill="F2F2F2"/>
        <w:spacing w:before="160" w:after="160" w:line="264" w:lineRule="auto"/>
        <w:ind w:left="115" w:right="115"/>
      </w:pPr>
      <w:r>
        <w:rPr>
          <w:rFonts w:ascii="Calibri" w:hAnsi="Calibri"/>
          <w:b/>
          <w:i w:val="0"/>
          <w:color w:val="111111"/>
          <w:sz w:val="22"/>
        </w:rPr>
        <w:t xml:space="preserve">Our commitment: </w:t>
      </w:r>
      <w:r>
        <w:rPr>
          <w:rFonts w:ascii="Calibri" w:hAnsi="Calibri"/>
          <w:b w:val="0"/>
          <w:i w:val="0"/>
          <w:color w:val="222222"/>
          <w:sz w:val="22"/>
        </w:rPr>
        <w:t>Explore@RC uses a fair, consistent, and transparent admissions process. A lottery is used only when the number of eligible applicants is greater than the number of available seats.</w:t>
      </w:r>
    </w:p>
    <w:p>
      <w:pPr>
        <w:pStyle w:val="Heading1"/>
      </w:pPr>
      <w:r>
        <w:t>Important Application Dates</w:t>
      </w:r>
    </w:p>
    <w:tbl>
      <w:tblPr>
        <w:tblStyle w:val="TableGrid"/>
        <w:tblW w:type="dxa" w:w="9360"/>
        <w:jc w:val="left"/>
        <w:tblLayout w:type="fixed"/>
        <w:tblLook w:firstColumn="1" w:firstRow="1" w:lastColumn="0" w:lastRow="0" w:noHBand="0" w:noVBand="1" w:val="04A0"/>
        <w:tblInd w:w="120" w:type="dxa"/>
      </w:tblPr>
      <w:tblGrid>
        <w:gridCol w:w="2700"/>
        <w:gridCol w:w="3330"/>
        <w:gridCol w:w="3330"/>
      </w:tblGrid>
      <w:tr>
        <w:trPr>
          <w:tblHeader w:val="true"/>
        </w:trPr>
        <w:tc>
          <w:tcPr>
            <w:tcW w:type="dxa" w:w="2700"/>
            <w:tcMar>
              <w:top w:w="80" w:type="dxa"/>
              <w:start w:w="120" w:type="dxa"/>
              <w:bottom w:w="80" w:type="dxa"/>
              <w:end w:w="120" w:type="dxa"/>
            </w:tcMar>
            <w:shd w:fill="F2F4F7"/>
            <w:vAlign w:val="center"/>
          </w:tcPr>
          <w:p>
            <w:pPr>
              <w:jc w:val="left"/>
            </w:pPr>
            <w:r>
              <w:rPr>
                <w:rFonts w:ascii="Calibri" w:hAnsi="Calibri"/>
                <w:b/>
                <w:i w:val="0"/>
                <w:color w:val="111111"/>
                <w:sz w:val="21"/>
              </w:rPr>
              <w:t>Admission period</w:t>
            </w:r>
          </w:p>
        </w:tc>
        <w:tc>
          <w:tcPr>
            <w:tcW w:type="dxa" w:w="3330"/>
            <w:tcMar>
              <w:top w:w="80" w:type="dxa"/>
              <w:start w:w="120" w:type="dxa"/>
              <w:bottom w:w="80" w:type="dxa"/>
              <w:end w:w="120" w:type="dxa"/>
            </w:tcMar>
            <w:shd w:fill="F2F4F7"/>
            <w:vAlign w:val="center"/>
          </w:tcPr>
          <w:p>
            <w:pPr>
              <w:jc w:val="left"/>
            </w:pPr>
            <w:r>
              <w:rPr>
                <w:rFonts w:ascii="Calibri" w:hAnsi="Calibri"/>
                <w:b/>
                <w:i w:val="0"/>
                <w:color w:val="111111"/>
                <w:sz w:val="21"/>
              </w:rPr>
              <w:t>Application window</w:t>
            </w:r>
          </w:p>
        </w:tc>
        <w:tc>
          <w:tcPr>
            <w:tcW w:type="dxa" w:w="3330"/>
            <w:tcMar>
              <w:top w:w="80" w:type="dxa"/>
              <w:start w:w="120" w:type="dxa"/>
              <w:bottom w:w="80" w:type="dxa"/>
              <w:end w:w="120" w:type="dxa"/>
            </w:tcMar>
            <w:shd w:fill="F2F4F7"/>
            <w:vAlign w:val="center"/>
          </w:tcPr>
          <w:p>
            <w:pPr>
              <w:jc w:val="left"/>
            </w:pPr>
            <w:r>
              <w:rPr>
                <w:rFonts w:ascii="Calibri" w:hAnsi="Calibri"/>
                <w:b/>
                <w:i w:val="0"/>
                <w:color w:val="111111"/>
                <w:sz w:val="21"/>
              </w:rPr>
              <w:t>After the deadline</w:t>
            </w:r>
          </w:p>
        </w:tc>
      </w:tr>
      <w:tr>
        <w:tc>
          <w:tcPr>
            <w:tcW w:type="dxa" w:w="2700"/>
            <w:vAlign w:val="center"/>
            <w:tcMar>
              <w:top w:w="80" w:type="dxa"/>
              <w:start w:w="120" w:type="dxa"/>
              <w:bottom w:w="80" w:type="dxa"/>
              <w:end w:w="120" w:type="dxa"/>
            </w:tcMar>
          </w:tcPr>
          <w:p>
            <w:pPr>
              <w:spacing w:after="0"/>
            </w:pPr>
            <w:r>
              <w:rPr>
                <w:rFonts w:ascii="Calibri" w:hAnsi="Calibri"/>
                <w:b/>
                <w:i w:val="0"/>
                <w:color w:val="222222"/>
                <w:sz w:val="21"/>
              </w:rPr>
              <w:t>2027-2028 school year</w:t>
            </w:r>
          </w:p>
        </w:tc>
        <w:tc>
          <w:tcPr>
            <w:tcW w:type="dxa" w:w="3330"/>
            <w:vAlign w:val="center"/>
            <w:tcMar>
              <w:top w:w="80" w:type="dxa"/>
              <w:start w:w="120" w:type="dxa"/>
              <w:bottom w:w="80" w:type="dxa"/>
              <w:end w:w="120" w:type="dxa"/>
            </w:tcMar>
          </w:tcPr>
          <w:p>
            <w:pPr>
              <w:spacing w:after="0"/>
            </w:pPr>
            <w:r>
              <w:rPr>
                <w:rFonts w:ascii="Calibri" w:hAnsi="Calibri"/>
                <w:b w:val="0"/>
                <w:i w:val="0"/>
                <w:color w:val="222222"/>
                <w:sz w:val="21"/>
              </w:rPr>
              <w:t>September 1, 2026, through March 1, 2027</w:t>
            </w:r>
          </w:p>
        </w:tc>
        <w:tc>
          <w:tcPr>
            <w:tcW w:type="dxa" w:w="3330"/>
            <w:vAlign w:val="center"/>
            <w:tcMar>
              <w:top w:w="80" w:type="dxa"/>
              <w:start w:w="120" w:type="dxa"/>
              <w:bottom w:w="80" w:type="dxa"/>
              <w:end w:w="120" w:type="dxa"/>
            </w:tcMar>
          </w:tcPr>
          <w:p>
            <w:pPr>
              <w:spacing w:after="0"/>
            </w:pPr>
            <w:r>
              <w:rPr>
                <w:rFonts w:ascii="Calibri" w:hAnsi="Calibri"/>
                <w:b w:val="0"/>
                <w:i w:val="0"/>
                <w:color w:val="222222"/>
                <w:sz w:val="21"/>
              </w:rPr>
              <w:t>Applications will remain open after March 1 if seats are still available.</w:t>
            </w:r>
          </w:p>
        </w:tc>
      </w:tr>
      <w:tr>
        <w:tc>
          <w:tcPr>
            <w:tcW w:type="dxa" w:w="2700"/>
            <w:vAlign w:val="center"/>
            <w:tcMar>
              <w:top w:w="80" w:type="dxa"/>
              <w:start w:w="120" w:type="dxa"/>
              <w:bottom w:w="80" w:type="dxa"/>
              <w:end w:w="120" w:type="dxa"/>
            </w:tcMar>
          </w:tcPr>
          <w:p>
            <w:pPr>
              <w:spacing w:after="0"/>
            </w:pPr>
            <w:r>
              <w:rPr>
                <w:rFonts w:ascii="Calibri" w:hAnsi="Calibri"/>
                <w:b/>
                <w:i w:val="0"/>
                <w:color w:val="222222"/>
                <w:sz w:val="21"/>
              </w:rPr>
              <w:t>Spring admission</w:t>
            </w:r>
          </w:p>
        </w:tc>
        <w:tc>
          <w:tcPr>
            <w:tcW w:type="dxa" w:w="3330"/>
            <w:vAlign w:val="center"/>
            <w:tcMar>
              <w:top w:w="80" w:type="dxa"/>
              <w:start w:w="120" w:type="dxa"/>
              <w:bottom w:w="80" w:type="dxa"/>
              <w:end w:w="120" w:type="dxa"/>
            </w:tcMar>
          </w:tcPr>
          <w:p>
            <w:pPr>
              <w:spacing w:after="0"/>
            </w:pPr>
            <w:r>
              <w:rPr>
                <w:rFonts w:ascii="Calibri" w:hAnsi="Calibri"/>
                <w:b w:val="0"/>
                <w:i w:val="0"/>
                <w:color w:val="222222"/>
                <w:sz w:val="21"/>
              </w:rPr>
              <w:t>September 1 through December 1, when spring seats are available</w:t>
            </w:r>
          </w:p>
        </w:tc>
        <w:tc>
          <w:tcPr>
            <w:tcW w:type="dxa" w:w="3330"/>
            <w:vAlign w:val="center"/>
            <w:tcMar>
              <w:top w:w="80" w:type="dxa"/>
              <w:start w:w="120" w:type="dxa"/>
              <w:bottom w:w="80" w:type="dxa"/>
              <w:end w:w="120" w:type="dxa"/>
            </w:tcMar>
          </w:tcPr>
          <w:p>
            <w:pPr>
              <w:spacing w:after="0"/>
            </w:pPr>
            <w:r>
              <w:rPr>
                <w:rFonts w:ascii="Calibri" w:hAnsi="Calibri"/>
                <w:b w:val="0"/>
                <w:i w:val="0"/>
                <w:color w:val="222222"/>
                <w:sz w:val="21"/>
              </w:rPr>
              <w:t>Spring applications are accepted only when seats are available.</w:t>
            </w:r>
          </w:p>
        </w:tc>
      </w:tr>
    </w:tbl>
    <w:p>
      <w:pPr>
        <w:pStyle w:val="Heading1"/>
      </w:pPr>
      <w:r>
        <w:t>Eligibility Requirements</w:t>
      </w:r>
    </w:p>
    <w:p>
      <w:pPr>
        <w:spacing w:before="0" w:after="80" w:line="252" w:lineRule="auto"/>
      </w:pPr>
      <w:r>
        <w:rPr>
          <w:rFonts w:ascii="Calibri" w:hAnsi="Calibri"/>
          <w:b w:val="0"/>
          <w:i w:val="0"/>
          <w:color w:val="222222"/>
          <w:sz w:val="21"/>
        </w:rPr>
        <w:t>Enrollment is open on a space-available basis to eligible high school students who live in the Commonwealth of Virginia. Students generally must have completed ninth grade before applying to Explore@RC. A student who is currently in ninth grade may apply only if the student is academically advanced and has completed 10th-grade coursework.</w:t>
      </w:r>
    </w:p>
    <w:p>
      <w:pPr>
        <w:spacing w:before="0" w:after="80" w:line="252" w:lineRule="auto"/>
      </w:pPr>
      <w:r>
        <w:rPr>
          <w:rFonts w:ascii="Calibri" w:hAnsi="Calibri"/>
          <w:b w:val="0"/>
          <w:i w:val="0"/>
          <w:color w:val="222222"/>
          <w:sz w:val="21"/>
        </w:rPr>
        <w:t>The standard academic requirement is a minimum cumulative high school GPA of 3.0. Students with a cumulative GPA from 2.5 through 2.99 may apply, but they must submit three letters of recommendation with the application. Applications from students in this GPA range are not complete without all three letters.</w:t>
      </w:r>
    </w:p>
    <w:p>
      <w:pPr>
        <w:spacing w:before="0" w:after="80" w:line="252" w:lineRule="auto"/>
      </w:pPr>
      <w:r>
        <w:rPr>
          <w:rFonts w:ascii="Calibri" w:hAnsi="Calibri"/>
          <w:b w:val="0"/>
          <w:i w:val="0"/>
          <w:color w:val="222222"/>
          <w:sz w:val="21"/>
        </w:rPr>
        <w:t>Additional eligibility requirements may reflect Virginia law, Explore@RC's approved plan, participating school-division requirements, Roanoke College requirements, and applicable dual-enrollment policies.</w:t>
      </w:r>
    </w:p>
    <w:p>
      <w:pPr>
        <w:spacing w:before="0" w:after="80" w:line="252" w:lineRule="auto"/>
      </w:pPr>
      <w:r>
        <w:rPr>
          <w:rFonts w:ascii="Calibri" w:hAnsi="Calibri"/>
          <w:b w:val="0"/>
          <w:i w:val="0"/>
          <w:color w:val="222222"/>
          <w:sz w:val="21"/>
        </w:rPr>
        <w:t>Applications are reviewed for completeness and eligibility before any lottery takes place. Application materials may also support advising, course placement, and preparation for college-level work. They are not used to rank otherwise eligible students unless that use is specifically authorized and publicly disclosed.</w:t>
      </w:r>
    </w:p>
    <w:p>
      <w:pPr>
        <w:pStyle w:val="Heading1"/>
      </w:pPr>
      <w:r>
        <w:t>How the Lottery Process Works</w:t>
      </w:r>
    </w:p>
    <w:p>
      <w:pPr>
        <w:keepNext/>
        <w:spacing w:before="120" w:after="40"/>
      </w:pPr>
      <w:r>
        <w:rPr>
          <w:rFonts w:ascii="Calibri" w:hAnsi="Calibri"/>
          <w:b/>
          <w:i w:val="0"/>
          <w:color w:val="111111"/>
          <w:sz w:val="23"/>
        </w:rPr>
        <w:t>STEP 1  |  Submit an application</w:t>
      </w:r>
    </w:p>
    <w:p>
      <w:pPr>
        <w:spacing w:before="0" w:after="100" w:line="252" w:lineRule="auto"/>
      </w:pPr>
      <w:r>
        <w:rPr>
          <w:rFonts w:ascii="Calibri" w:hAnsi="Calibri"/>
          <w:b w:val="0"/>
          <w:i w:val="0"/>
          <w:color w:val="222222"/>
          <w:sz w:val="21"/>
        </w:rPr>
        <w:t>Families submit the required application and supporting materials during the published application window.</w:t>
      </w:r>
    </w:p>
    <w:p>
      <w:pPr>
        <w:keepNext/>
        <w:spacing w:before="120" w:after="40"/>
      </w:pPr>
      <w:r>
        <w:rPr>
          <w:rFonts w:ascii="Calibri" w:hAnsi="Calibri"/>
          <w:b/>
          <w:i w:val="0"/>
          <w:color w:val="111111"/>
          <w:sz w:val="23"/>
        </w:rPr>
        <w:t>STEP 2  |  Eligibility is confirmed</w:t>
      </w:r>
    </w:p>
    <w:p>
      <w:pPr>
        <w:spacing w:before="0" w:after="100" w:line="252" w:lineRule="auto"/>
      </w:pPr>
      <w:r>
        <w:rPr>
          <w:rFonts w:ascii="Calibri" w:hAnsi="Calibri"/>
          <w:b w:val="0"/>
          <w:i w:val="0"/>
          <w:color w:val="222222"/>
          <w:sz w:val="21"/>
        </w:rPr>
        <w:t>Explore@RC reviews each application using the same published eligibility requirements, including grade-level readiness and the GPA requirement. A current ninth-grade student must be academically advanced and have completed 10th-grade coursework. Students applying with a 2.5-2.99 cumulative GPA must include three letters of recommendation. Only complete, eligible applications are included in the lottery pool.</w:t>
      </w:r>
    </w:p>
    <w:p>
      <w:pPr>
        <w:keepNext/>
        <w:spacing w:before="120" w:after="40"/>
      </w:pPr>
      <w:r>
        <w:rPr>
          <w:rFonts w:ascii="Calibri" w:hAnsi="Calibri"/>
          <w:b/>
          <w:i w:val="0"/>
          <w:color w:val="111111"/>
          <w:sz w:val="23"/>
        </w:rPr>
        <w:t>STEP 3  |  Available seats are compared with eligible applications</w:t>
      </w:r>
    </w:p>
    <w:p>
      <w:pPr>
        <w:spacing w:before="0" w:after="100" w:line="252" w:lineRule="auto"/>
      </w:pPr>
      <w:r>
        <w:rPr>
          <w:rFonts w:ascii="Calibri" w:hAnsi="Calibri"/>
          <w:b w:val="0"/>
          <w:i w:val="0"/>
          <w:color w:val="222222"/>
          <w:sz w:val="21"/>
        </w:rPr>
        <w:t>If the number of eligible applicants does not exceed the number of available seats, a lottery is not needed and all eligible applicants may be offered enrollment, subject to any remaining enrollment requirements.</w:t>
      </w:r>
    </w:p>
    <w:p>
      <w:pPr>
        <w:keepNext/>
        <w:spacing w:before="120" w:after="40"/>
      </w:pPr>
      <w:r>
        <w:rPr>
          <w:rFonts w:ascii="Calibri" w:hAnsi="Calibri"/>
          <w:b/>
          <w:i w:val="0"/>
          <w:color w:val="111111"/>
          <w:sz w:val="23"/>
        </w:rPr>
        <w:t>STEP 4  |  A random order is created when needed</w:t>
      </w:r>
    </w:p>
    <w:p>
      <w:pPr>
        <w:spacing w:before="0" w:after="100" w:line="252" w:lineRule="auto"/>
      </w:pPr>
      <w:r>
        <w:rPr>
          <w:rFonts w:ascii="Calibri" w:hAnsi="Calibri"/>
          <w:b w:val="0"/>
          <w:i w:val="0"/>
          <w:color w:val="222222"/>
          <w:sz w:val="21"/>
        </w:rPr>
        <w:t>If eligible applications exceed available seats, each eligible application is assigned an identification number. Explore@RC uses a documented random-selection process based on these identification numbers rather than student names.</w:t>
      </w:r>
    </w:p>
    <w:p>
      <w:pPr>
        <w:keepNext/>
        <w:spacing w:before="120" w:after="40"/>
      </w:pPr>
      <w:r>
        <w:rPr>
          <w:rFonts w:ascii="Calibri" w:hAnsi="Calibri"/>
          <w:b/>
          <w:i w:val="0"/>
          <w:color w:val="111111"/>
          <w:sz w:val="23"/>
        </w:rPr>
        <w:t>STEP 5  |  Offers and the waiting list follow the lottery order</w:t>
      </w:r>
    </w:p>
    <w:p>
      <w:pPr>
        <w:spacing w:before="0" w:after="100" w:line="252" w:lineRule="auto"/>
      </w:pPr>
      <w:r>
        <w:rPr>
          <w:rFonts w:ascii="Calibri" w:hAnsi="Calibri"/>
          <w:b w:val="0"/>
          <w:i w:val="0"/>
          <w:color w:val="222222"/>
          <w:sz w:val="21"/>
        </w:rPr>
        <w:t>Available seats are offered beginning with the first lottery rank. All remaining eligible applicants are placed on a numbered waiting list in the exact order produced by the lottery.</w:t>
      </w:r>
    </w:p>
    <w:p>
      <w:pPr>
        <w:pStyle w:val="Heading1"/>
      </w:pPr>
      <w:r>
        <w:t>Waiting List and Available Seats</w:t>
      </w:r>
    </w:p>
    <w:p>
      <w:pPr>
        <w:spacing w:before="0" w:after="80" w:line="252" w:lineRule="auto"/>
      </w:pPr>
      <w:r>
        <w:rPr>
          <w:rFonts w:ascii="Calibri" w:hAnsi="Calibri"/>
          <w:b w:val="0"/>
          <w:i w:val="0"/>
          <w:color w:val="222222"/>
          <w:sz w:val="21"/>
        </w:rPr>
        <w:t>Families of students placed on the waiting list will be told the student's numbered position. If a student declines an offer, does not respond by the stated deadline, or a seat otherwise becomes available, the seat is offered to the next eligible student in the established order.</w:t>
      </w:r>
    </w:p>
    <w:p>
      <w:pPr>
        <w:spacing w:before="0" w:after="80" w:line="252" w:lineRule="auto"/>
      </w:pPr>
      <w:r>
        <w:rPr>
          <w:rFonts w:ascii="Calibri" w:hAnsi="Calibri"/>
          <w:b w:val="0"/>
          <w:i w:val="0"/>
          <w:color w:val="222222"/>
          <w:sz w:val="21"/>
        </w:rPr>
        <w:t>Late applications may be considered only under the published process for that admission cycle and only when space is available. A late applicant will not be placed ahead of students already ranked on an existing waiting list.</w:t>
      </w:r>
    </w:p>
    <w:p>
      <w:pPr>
        <w:pStyle w:val="Heading1"/>
      </w:pPr>
      <w:r>
        <w:t>Course Placement</w:t>
      </w:r>
    </w:p>
    <w:p>
      <w:pPr>
        <w:spacing w:before="0" w:after="80" w:line="252" w:lineRule="auto"/>
      </w:pPr>
      <w:r>
        <w:rPr>
          <w:rFonts w:ascii="Calibri" w:hAnsi="Calibri"/>
          <w:b w:val="0"/>
          <w:i w:val="0"/>
          <w:color w:val="222222"/>
          <w:sz w:val="21"/>
        </w:rPr>
        <w:t>A student's pathway preference may be considered for advising and scheduling, but it does not guarantee placement in a particular course or section. Placement depends on course availability, college prerequisites, scheduling, and applicable dual-enrollment requirements.</w:t>
      </w:r>
    </w:p>
    <w:p>
      <w:pPr>
        <w:pStyle w:val="Heading1"/>
      </w:pPr>
      <w:r>
        <w:t>Privacy and Notifications</w:t>
      </w:r>
    </w:p>
    <w:p>
      <w:pPr>
        <w:spacing w:before="0" w:after="80" w:line="252" w:lineRule="auto"/>
      </w:pPr>
      <w:r>
        <w:rPr>
          <w:rFonts w:ascii="Calibri" w:hAnsi="Calibri"/>
          <w:b w:val="0"/>
          <w:i w:val="0"/>
          <w:color w:val="222222"/>
          <w:sz w:val="21"/>
        </w:rPr>
        <w:t>Explore@RC limits access to applicant information to the employees and partners who need it to administer admissions, enrollment, advising, and required reporting. Personally identifiable student information is not included in public lottery information.</w:t>
      </w:r>
    </w:p>
    <w:p>
      <w:pPr>
        <w:spacing w:before="0" w:after="80" w:line="252" w:lineRule="auto"/>
      </w:pPr>
      <w:r>
        <w:rPr>
          <w:rFonts w:ascii="Calibri" w:hAnsi="Calibri"/>
          <w:b w:val="0"/>
          <w:i w:val="0"/>
          <w:color w:val="222222"/>
          <w:sz w:val="21"/>
        </w:rPr>
        <w:t>Families receive written notice of an admission offer, waiting-list placement, or an incomplete or ineligible application, as applicable. Notices include relevant response deadlines and next steps.</w:t>
      </w:r>
    </w:p>
    <w:p>
      <w:pPr>
        <w:pStyle w:val="Heading1"/>
      </w:pPr>
      <w:r>
        <w:t>Questions or Accommodation Requests</w:t>
      </w:r>
    </w:p>
    <w:p>
      <w:pPr>
        <w:spacing w:before="0" w:after="80" w:line="252" w:lineRule="auto"/>
      </w:pPr>
      <w:r>
        <w:rPr>
          <w:rFonts w:ascii="Calibri" w:hAnsi="Calibri"/>
          <w:b w:val="0"/>
          <w:i w:val="0"/>
          <w:color w:val="222222"/>
          <w:sz w:val="21"/>
        </w:rPr>
        <w:t>Families may contact Explore@RC with questions about eligibility, the application process, accessibility accommodations, or the lottery procedure. Accommodation requests will be addressed in accordance with applicable law and college and school-division procedures.</w:t>
      </w:r>
    </w:p>
    <w:p>
      <w:pPr>
        <w:spacing w:before="240" w:after="0"/>
      </w:pPr>
      <w:r>
        <w:rPr>
          <w:rFonts w:ascii="Calibri" w:hAnsi="Calibri"/>
          <w:b/>
          <w:i w:val="0"/>
          <w:color w:val="666666"/>
          <w:sz w:val="19"/>
        </w:rPr>
        <w:t xml:space="preserve">Legal authority: </w:t>
      </w:r>
      <w:r>
        <w:rPr>
          <w:rFonts w:ascii="Calibri" w:hAnsi="Calibri"/>
          <w:b w:val="0"/>
          <w:i w:val="0"/>
          <w:color w:val="666666"/>
          <w:sz w:val="19"/>
        </w:rPr>
        <w:t>Virginia Code § 22.1-349.3(B), together with applicable Virginia Department of Education guidance and Explore@RC's approved operating plan.</w:t>
      </w:r>
    </w:p>
    <w:sectPr w:rsidR="00FC693F" w:rsidRPr="0006063C" w:rsidSect="00034616">
      <w:headerReference w:type="default" r:id="rId9"/>
      <w:footerReference w:type="default" r:id="rId10"/>
      <w:pgSz w:w="12240" w:h="15840"/>
      <w:pgMar w:top="1224" w:right="1440" w:bottom="1152"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
      <w:rPr>
        <w:rFonts w:ascii="Calibri" w:hAnsi="Calibri"/>
        <w:b w:val="0"/>
        <w:i w:val="0"/>
        <w:color w:val="666666"/>
        <w:sz w:val="18"/>
      </w:rPr>
      <w:t xml:space="preserve">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pPr>
    <w:r/>
    <w:r>
      <w:rPr>
        <w:rFonts w:ascii="Calibri" w:hAnsi="Calibri"/>
        <w:b/>
        <w:i w:val="0"/>
        <w:color w:val="666666"/>
        <w:sz w:val="18"/>
      </w:rPr>
      <w:t>Explore@RC  |  Admissions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52" w:lineRule="auto"/>
    </w:pPr>
    <w:rPr>
      <w:rFonts w:ascii="Calibri" w:hAnsi="Calibri"/>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Calibri" w:hAnsi="Calibri"/>
      <w:b/>
      <w:bCs/>
      <w:color w:val="111111"/>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111111"/>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1111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Explore@RC Application and Lottery Process</dc:title>
  <dc:subject>Public-facing admissions and lottery website copy</dc:subject>
  <dc:creator>Explore@RC</dc:creator>
  <cp:keywords>Explore@RC, admissions, application, lottery, waiting list</cp:keywords>
  <dc:description>generated by python-docx</dc:description>
  <cp:lastModifiedBy/>
  <cp:revision>1</cp:revision>
  <dcterms:created xsi:type="dcterms:W3CDTF">2013-12-23T23:15:00Z</dcterms:created>
  <dcterms:modified xsi:type="dcterms:W3CDTF">2013-12-23T23:15:00Z</dcterms:modified>
  <cp:category/>
</cp:coreProperties>
</file>